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FE2" w:rsidRDefault="00782FE2" w:rsidP="00782FE2">
      <w:pPr>
        <w:jc w:val="center"/>
        <w:rPr>
          <w:b/>
          <w:bCs/>
          <w:sz w:val="32"/>
          <w:szCs w:val="32"/>
        </w:rPr>
      </w:pPr>
      <w:bookmarkStart w:id="0" w:name="_Toc380383061"/>
      <w:bookmarkStart w:id="1" w:name="_Toc380998674"/>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napToGrid/>
          <w:sz w:val="32"/>
          <w:szCs w:val="32"/>
        </w:rPr>
      </w:pPr>
      <w:r>
        <w:rPr>
          <w:b/>
          <w:bCs/>
          <w:sz w:val="32"/>
          <w:szCs w:val="32"/>
        </w:rPr>
        <w:t>SPECYFIKACJA TECHNICZNA WYKONANIA</w:t>
      </w:r>
    </w:p>
    <w:p w:rsidR="00782FE2" w:rsidRDefault="00782FE2" w:rsidP="00782FE2">
      <w:pPr>
        <w:jc w:val="center"/>
        <w:rPr>
          <w:b/>
          <w:bCs/>
          <w:sz w:val="32"/>
          <w:szCs w:val="32"/>
        </w:rPr>
      </w:pPr>
      <w:r>
        <w:rPr>
          <w:b/>
          <w:bCs/>
          <w:sz w:val="32"/>
          <w:szCs w:val="32"/>
        </w:rPr>
        <w:t>I ODBIORU ROBÓT BUDOWLANYCH</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D-07.02.01</w:t>
      </w: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 xml:space="preserve">OZNAKOWANIE PIONOWE </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bookmarkStart w:id="2" w:name="_GoBack"/>
      <w:bookmarkEnd w:id="2"/>
    </w:p>
    <w:p w:rsidR="00782FE2" w:rsidRDefault="00782FE2" w:rsidP="00782FE2">
      <w:pPr>
        <w:jc w:val="center"/>
        <w:rPr>
          <w:b/>
          <w:bCs/>
          <w:sz w:val="32"/>
          <w:szCs w:val="32"/>
        </w:rPr>
      </w:pPr>
    </w:p>
    <w:p w:rsidR="009B3BE0" w:rsidRDefault="009B3BE0" w:rsidP="00782FE2">
      <w:pPr>
        <w:jc w:val="center"/>
        <w:rPr>
          <w:b/>
          <w:bCs/>
          <w:sz w:val="32"/>
          <w:szCs w:val="32"/>
        </w:rPr>
      </w:pPr>
    </w:p>
    <w:bookmarkEnd w:id="0"/>
    <w:bookmarkEnd w:id="1"/>
    <w:p w:rsidR="00477A60" w:rsidRDefault="00477A60" w:rsidP="00744027">
      <w:pPr>
        <w:pStyle w:val="Nagwek0"/>
        <w:tabs>
          <w:tab w:val="left" w:pos="-1843"/>
        </w:tabs>
        <w:ind w:left="2127" w:hanging="2127"/>
        <w:contextualSpacing/>
        <w:jc w:val="both"/>
        <w:rPr>
          <w:bCs/>
          <w:caps w:val="0"/>
          <w:kern w:val="0"/>
          <w:sz w:val="32"/>
          <w:szCs w:val="32"/>
        </w:rPr>
      </w:pPr>
    </w:p>
    <w:p w:rsidR="00101A3A" w:rsidRPr="00226D00" w:rsidRDefault="00101A3A" w:rsidP="00744027">
      <w:pPr>
        <w:pStyle w:val="Nagwek0"/>
        <w:tabs>
          <w:tab w:val="left" w:pos="-1843"/>
        </w:tabs>
        <w:ind w:left="2127" w:hanging="2127"/>
        <w:contextualSpacing/>
        <w:jc w:val="both"/>
        <w:rPr>
          <w:color w:val="000000"/>
          <w:sz w:val="32"/>
          <w:szCs w:val="32"/>
        </w:rPr>
      </w:pPr>
      <w:r w:rsidRPr="00226D00">
        <w:rPr>
          <w:color w:val="000000"/>
          <w:sz w:val="32"/>
          <w:szCs w:val="32"/>
        </w:rPr>
        <w:tab/>
      </w:r>
    </w:p>
    <w:p w:rsidR="00C35FD6" w:rsidRPr="00226D00" w:rsidRDefault="00C35FD6" w:rsidP="00744027">
      <w:pPr>
        <w:contextualSpacing/>
        <w:rPr>
          <w:sz w:val="32"/>
          <w:szCs w:val="32"/>
        </w:rPr>
      </w:pPr>
    </w:p>
    <w:p w:rsidR="00C35FD6" w:rsidRPr="00226D00" w:rsidRDefault="00C35FD6" w:rsidP="00744027">
      <w:pPr>
        <w:contextualSpacing/>
        <w:rPr>
          <w:sz w:val="32"/>
          <w:szCs w:val="32"/>
        </w:rPr>
      </w:pPr>
    </w:p>
    <w:p w:rsidR="004C41D2" w:rsidRPr="00226D00" w:rsidRDefault="004C41D2" w:rsidP="00226D00">
      <w:pPr>
        <w:pStyle w:val="Akapitzlist"/>
        <w:numPr>
          <w:ilvl w:val="0"/>
          <w:numId w:val="32"/>
        </w:numPr>
        <w:ind w:left="270" w:hanging="270"/>
        <w:rPr>
          <w:b/>
          <w:sz w:val="24"/>
          <w:szCs w:val="24"/>
        </w:rPr>
      </w:pPr>
      <w:r w:rsidRPr="00226D00">
        <w:rPr>
          <w:b/>
          <w:sz w:val="24"/>
          <w:szCs w:val="24"/>
        </w:rPr>
        <w:lastRenderedPageBreak/>
        <w:t xml:space="preserve">WSTĘP </w:t>
      </w:r>
    </w:p>
    <w:p w:rsidR="004C41D2" w:rsidRPr="00744027" w:rsidRDefault="004C41D2" w:rsidP="00744027">
      <w:pPr>
        <w:contextualSpacing/>
        <w:rPr>
          <w:sz w:val="24"/>
          <w:szCs w:val="24"/>
        </w:rPr>
      </w:pPr>
    </w:p>
    <w:p w:rsidR="004C41D2" w:rsidRPr="00226D00" w:rsidRDefault="004C41D2" w:rsidP="00226D00">
      <w:pPr>
        <w:pStyle w:val="Akapitzlist"/>
        <w:numPr>
          <w:ilvl w:val="1"/>
          <w:numId w:val="33"/>
        </w:numPr>
        <w:tabs>
          <w:tab w:val="left" w:pos="450"/>
        </w:tabs>
        <w:ind w:left="0" w:firstLine="0"/>
        <w:rPr>
          <w:b/>
          <w:sz w:val="24"/>
          <w:szCs w:val="24"/>
        </w:rPr>
      </w:pPr>
      <w:r w:rsidRPr="00226D00">
        <w:rPr>
          <w:b/>
          <w:sz w:val="24"/>
          <w:szCs w:val="24"/>
        </w:rPr>
        <w:t>Nazwa zadania</w:t>
      </w:r>
    </w:p>
    <w:p w:rsidR="00C06D60" w:rsidRPr="00744027" w:rsidRDefault="00C06D60" w:rsidP="00744027">
      <w:pPr>
        <w:contextualSpacing/>
        <w:rPr>
          <w:sz w:val="24"/>
          <w:szCs w:val="24"/>
        </w:rPr>
      </w:pPr>
    </w:p>
    <w:p w:rsidR="00744027" w:rsidRPr="00744027" w:rsidRDefault="00744027" w:rsidP="00744027">
      <w:pPr>
        <w:autoSpaceDE w:val="0"/>
        <w:autoSpaceDN w:val="0"/>
        <w:adjustRightInd w:val="0"/>
        <w:ind w:firstLine="720"/>
        <w:contextualSpacing/>
        <w:rPr>
          <w:b/>
          <w:sz w:val="24"/>
          <w:szCs w:val="24"/>
        </w:rPr>
      </w:pPr>
      <w:r w:rsidRPr="00744027">
        <w:rPr>
          <w:sz w:val="24"/>
          <w:szCs w:val="24"/>
        </w:rPr>
        <w:t>„</w:t>
      </w:r>
      <w:r w:rsidR="000107AE" w:rsidRPr="00D055A4">
        <w:rPr>
          <w:b/>
          <w:bCs/>
          <w:sz w:val="24"/>
        </w:rPr>
        <w:t>P</w:t>
      </w:r>
      <w:r w:rsidR="00CE5D6C">
        <w:rPr>
          <w:b/>
          <w:bCs/>
          <w:sz w:val="24"/>
        </w:rPr>
        <w:t>rzebudowa</w:t>
      </w:r>
      <w:r w:rsidR="00AF7068">
        <w:rPr>
          <w:b/>
          <w:bCs/>
          <w:sz w:val="24"/>
        </w:rPr>
        <w:t xml:space="preserve"> drogi gminnej Zaskocz - Jaworze</w:t>
      </w:r>
      <w:r w:rsidR="00CE5D6C">
        <w:rPr>
          <w:b/>
          <w:bCs/>
          <w:sz w:val="24"/>
        </w:rPr>
        <w:t xml:space="preserve"> </w:t>
      </w:r>
      <w:r w:rsidR="000107AE" w:rsidRPr="00D055A4">
        <w:rPr>
          <w:b/>
          <w:bCs/>
          <w:sz w:val="24"/>
        </w:rPr>
        <w:t>”</w:t>
      </w:r>
    </w:p>
    <w:p w:rsidR="00C06D60" w:rsidRPr="00744027" w:rsidRDefault="00C06D60" w:rsidP="00744027">
      <w:pPr>
        <w:contextualSpacing/>
        <w:rPr>
          <w:sz w:val="24"/>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Przedmiot ST</w:t>
      </w:r>
    </w:p>
    <w:p w:rsidR="004C41D2" w:rsidRPr="00744027" w:rsidRDefault="004C41D2" w:rsidP="00744027">
      <w:pPr>
        <w:contextualSpacing/>
        <w:rPr>
          <w:b/>
          <w:sz w:val="24"/>
          <w:szCs w:val="24"/>
        </w:rPr>
      </w:pPr>
    </w:p>
    <w:p w:rsidR="004C41D2" w:rsidRPr="00744027" w:rsidRDefault="004C41D2" w:rsidP="00744027">
      <w:pPr>
        <w:contextualSpacing/>
        <w:rPr>
          <w:sz w:val="24"/>
          <w:szCs w:val="24"/>
        </w:rPr>
      </w:pPr>
      <w:r w:rsidRPr="00744027">
        <w:rPr>
          <w:sz w:val="24"/>
          <w:szCs w:val="24"/>
        </w:rPr>
        <w:t>Przedmiotem niniejszej Specyfikacji Technicznej są wymagania dotyczące wykonania i odbioru oznakowania pionowego</w:t>
      </w:r>
      <w:r w:rsidR="00AF7068">
        <w:rPr>
          <w:sz w:val="24"/>
          <w:szCs w:val="24"/>
        </w:rPr>
        <w:t>.</w:t>
      </w:r>
      <w:r w:rsidR="00603A44">
        <w:rPr>
          <w:sz w:val="24"/>
          <w:szCs w:val="24"/>
        </w:rPr>
        <w:t xml:space="preserve"> </w:t>
      </w:r>
    </w:p>
    <w:p w:rsidR="004C41D2" w:rsidRPr="00744027" w:rsidRDefault="004C41D2" w:rsidP="00744027">
      <w:pPr>
        <w:contextualSpacing/>
        <w:rPr>
          <w:sz w:val="24"/>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Zakres robót objętych ST</w:t>
      </w:r>
    </w:p>
    <w:p w:rsidR="004C41D2" w:rsidRPr="00744027" w:rsidRDefault="004C41D2" w:rsidP="00744027">
      <w:pPr>
        <w:contextualSpacing/>
        <w:rPr>
          <w:sz w:val="24"/>
          <w:szCs w:val="24"/>
        </w:rPr>
      </w:pPr>
    </w:p>
    <w:p w:rsidR="0080660D" w:rsidRDefault="00BC6B39" w:rsidP="0080660D">
      <w:pPr>
        <w:pStyle w:val="Teksttreci0"/>
        <w:shd w:val="clear" w:color="auto" w:fill="auto"/>
        <w:spacing w:before="0" w:after="0" w:line="248" w:lineRule="exact"/>
        <w:ind w:left="20" w:right="20" w:firstLine="700"/>
        <w:rPr>
          <w:sz w:val="24"/>
          <w:szCs w:val="24"/>
        </w:rPr>
      </w:pPr>
      <w:r w:rsidRPr="00BC6B39">
        <w:rPr>
          <w:sz w:val="24"/>
          <w:szCs w:val="24"/>
        </w:rPr>
        <w:t>Ustalenia zawarte w niniejszej specyfikacji dotyczą zasad prowadzenia robót</w:t>
      </w:r>
      <w:r w:rsidRPr="00BC6B39">
        <w:rPr>
          <w:color w:val="FF0000"/>
          <w:sz w:val="24"/>
          <w:szCs w:val="24"/>
        </w:rPr>
        <w:t xml:space="preserve"> </w:t>
      </w:r>
      <w:r w:rsidRPr="00BC6B39">
        <w:rPr>
          <w:sz w:val="24"/>
          <w:szCs w:val="24"/>
        </w:rPr>
        <w:t>związanych z wykonywaniem i odbiorem oznakowania pionowego stosowaneg</w:t>
      </w:r>
      <w:r w:rsidR="0080660D">
        <w:rPr>
          <w:sz w:val="24"/>
          <w:szCs w:val="24"/>
        </w:rPr>
        <w:t>o na drogach zgodnie z „Proje</w:t>
      </w:r>
      <w:r w:rsidR="00CE5D6C">
        <w:rPr>
          <w:sz w:val="24"/>
          <w:szCs w:val="24"/>
        </w:rPr>
        <w:t>ktem stałej organizacji ruchu</w:t>
      </w:r>
      <w:r w:rsidR="0080660D">
        <w:rPr>
          <w:sz w:val="24"/>
          <w:szCs w:val="24"/>
        </w:rPr>
        <w:t>”.</w:t>
      </w:r>
      <w:r w:rsidR="00CE5D6C">
        <w:rPr>
          <w:sz w:val="24"/>
          <w:szCs w:val="24"/>
        </w:rPr>
        <w:t xml:space="preserve"> Na przebudowie drogi gminnej stosować ustalenia dotyczące znaków odblaskowych wielkości średnie z folii I generacji i znaków aktywnych z zasilaniem fotowoltaicznym.</w:t>
      </w:r>
    </w:p>
    <w:p w:rsidR="0080660D" w:rsidRDefault="0080660D" w:rsidP="0080660D">
      <w:pPr>
        <w:pStyle w:val="Teksttreci0"/>
        <w:shd w:val="clear" w:color="auto" w:fill="auto"/>
        <w:spacing w:before="0" w:after="0" w:line="248" w:lineRule="exact"/>
        <w:ind w:left="20" w:right="20" w:firstLine="700"/>
        <w:rPr>
          <w:sz w:val="24"/>
          <w:szCs w:val="24"/>
        </w:rPr>
      </w:pPr>
    </w:p>
    <w:p w:rsidR="00A90F16" w:rsidRPr="00A90F16" w:rsidRDefault="00A90F16" w:rsidP="00A90F16">
      <w:pPr>
        <w:pStyle w:val="Teksttreci0"/>
        <w:shd w:val="clear" w:color="auto" w:fill="auto"/>
        <w:tabs>
          <w:tab w:val="left" w:pos="294"/>
        </w:tabs>
        <w:spacing w:before="0" w:after="159" w:line="248" w:lineRule="exact"/>
        <w:ind w:firstLine="0"/>
        <w:contextualSpacing/>
        <w:rPr>
          <w:sz w:val="24"/>
          <w:szCs w:val="24"/>
        </w:rPr>
      </w:pPr>
      <w:r>
        <w:rPr>
          <w:sz w:val="24"/>
          <w:szCs w:val="24"/>
        </w:rPr>
        <w:t>Niniejsza specyfikacja nie obejmuje elementów krajowego systemu zarządzania ruchem.</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Default="00BC6B39" w:rsidP="00BC6B39">
      <w:pPr>
        <w:pStyle w:val="Nagwek21"/>
        <w:keepNext/>
        <w:keepLines/>
        <w:numPr>
          <w:ilvl w:val="1"/>
          <w:numId w:val="39"/>
        </w:numPr>
        <w:shd w:val="clear" w:color="auto" w:fill="auto"/>
        <w:tabs>
          <w:tab w:val="left" w:pos="366"/>
        </w:tabs>
        <w:spacing w:after="35" w:line="200" w:lineRule="exact"/>
        <w:rPr>
          <w:sz w:val="24"/>
          <w:szCs w:val="24"/>
        </w:rPr>
      </w:pPr>
      <w:bookmarkStart w:id="3" w:name="bookmark4"/>
      <w:r w:rsidRPr="00BC6B39">
        <w:rPr>
          <w:sz w:val="24"/>
          <w:szCs w:val="24"/>
        </w:rPr>
        <w:t>Określenia podstawowe</w:t>
      </w:r>
      <w:bookmarkEnd w:id="3"/>
    </w:p>
    <w:p w:rsidR="00BC6B39" w:rsidRPr="00BC6B39" w:rsidRDefault="00BC6B39" w:rsidP="00BC6B39">
      <w:pPr>
        <w:pStyle w:val="Nagwek21"/>
        <w:keepNext/>
        <w:keepLines/>
        <w:shd w:val="clear" w:color="auto" w:fill="auto"/>
        <w:tabs>
          <w:tab w:val="left" w:pos="366"/>
        </w:tabs>
        <w:spacing w:after="35" w:line="200" w:lineRule="exact"/>
        <w:ind w:left="20" w:firstLine="0"/>
        <w:rPr>
          <w:sz w:val="24"/>
          <w:szCs w:val="24"/>
        </w:rPr>
      </w:pPr>
    </w:p>
    <w:p w:rsidR="00BC6B39" w:rsidRPr="00BC6B39" w:rsidRDefault="00BC6B39" w:rsidP="00BC6B39">
      <w:pPr>
        <w:pStyle w:val="Teksttreci0"/>
        <w:shd w:val="clear" w:color="auto" w:fill="auto"/>
        <w:tabs>
          <w:tab w:val="left" w:pos="560"/>
        </w:tabs>
        <w:spacing w:before="0" w:after="123"/>
        <w:ind w:left="20" w:right="20" w:firstLine="0"/>
        <w:rPr>
          <w:sz w:val="24"/>
          <w:szCs w:val="24"/>
        </w:rPr>
      </w:pPr>
      <w:r w:rsidRPr="00BC6B39">
        <w:rPr>
          <w:sz w:val="24"/>
          <w:szCs w:val="24"/>
          <w:u w:val="single"/>
        </w:rPr>
        <w:t>Znak drogowy pionowy</w:t>
      </w:r>
      <w:r w:rsidRPr="00BC6B39">
        <w:rPr>
          <w:sz w:val="24"/>
          <w:szCs w:val="24"/>
        </w:rPr>
        <w:t xml:space="preserve"> – element wyposażenia drogi składający się z tarczy znaku z umieszczonym na niej, w sposób trwały, odblaskowym licem. </w:t>
      </w:r>
    </w:p>
    <w:p w:rsidR="00BC6B39" w:rsidRPr="00BC6B39" w:rsidRDefault="00BC6B39" w:rsidP="00BC6B39">
      <w:pPr>
        <w:pStyle w:val="Teksttreci0"/>
        <w:shd w:val="clear" w:color="auto" w:fill="auto"/>
        <w:tabs>
          <w:tab w:val="left" w:pos="549"/>
        </w:tabs>
        <w:spacing w:before="0"/>
        <w:ind w:left="20" w:right="20" w:firstLine="0"/>
        <w:rPr>
          <w:color w:val="00B050"/>
          <w:sz w:val="24"/>
          <w:szCs w:val="24"/>
        </w:rPr>
      </w:pPr>
      <w:r w:rsidRPr="00BC6B39">
        <w:rPr>
          <w:sz w:val="24"/>
          <w:szCs w:val="24"/>
          <w:u w:val="single"/>
        </w:rPr>
        <w:t>Znak drogowy podświetlany</w:t>
      </w:r>
      <w:r w:rsidRPr="00BC6B39">
        <w:rPr>
          <w:sz w:val="24"/>
          <w:szCs w:val="24"/>
        </w:rPr>
        <w:t xml:space="preserve"> - znak, w którym wewnętrzne źródło światła umieszczone jest za przezroczystym licem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oświetlany</w:t>
      </w:r>
      <w:r w:rsidRPr="00BC6B39">
        <w:rPr>
          <w:sz w:val="24"/>
          <w:szCs w:val="24"/>
        </w:rPr>
        <w:t xml:space="preserve"> - znak, którego lico jest oświetlane źródłem światła umieszczonym na zewnątrz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aktywny</w:t>
      </w:r>
      <w:r w:rsidRPr="00BC6B39">
        <w:rPr>
          <w:sz w:val="24"/>
          <w:szCs w:val="24"/>
        </w:rPr>
        <w:t xml:space="preserve"> – znak, na którego tarczy umieszczone są punktowe źródła światła. </w:t>
      </w:r>
    </w:p>
    <w:p w:rsidR="00BC6B39" w:rsidRPr="00BC6B39" w:rsidRDefault="00BC6B39" w:rsidP="00BC6B39">
      <w:pPr>
        <w:pStyle w:val="Teksttreci0"/>
        <w:shd w:val="clear" w:color="auto" w:fill="auto"/>
        <w:tabs>
          <w:tab w:val="left" w:pos="546"/>
        </w:tabs>
        <w:spacing w:before="0" w:line="241" w:lineRule="exact"/>
        <w:ind w:left="20" w:right="20" w:firstLine="0"/>
        <w:rPr>
          <w:sz w:val="24"/>
          <w:szCs w:val="24"/>
        </w:rPr>
      </w:pPr>
      <w:r w:rsidRPr="00BC6B39">
        <w:rPr>
          <w:sz w:val="24"/>
          <w:szCs w:val="24"/>
          <w:u w:val="single"/>
        </w:rPr>
        <w:t>Tarcza znaku</w:t>
      </w:r>
      <w:r w:rsidRPr="00BC6B39">
        <w:rPr>
          <w:sz w:val="24"/>
          <w:szCs w:val="24"/>
        </w:rPr>
        <w:t xml:space="preserve"> - płaska sztywna powierzchnia, na której w sposób trwały umieszczone jest lico znaku.</w:t>
      </w:r>
    </w:p>
    <w:p w:rsidR="00BC6B39" w:rsidRPr="00BC6B39" w:rsidRDefault="00BC6B39" w:rsidP="00BC6B39">
      <w:pPr>
        <w:pStyle w:val="Teksttreci0"/>
        <w:shd w:val="clear" w:color="auto" w:fill="auto"/>
        <w:tabs>
          <w:tab w:val="left" w:pos="546"/>
        </w:tabs>
        <w:spacing w:before="0" w:line="241" w:lineRule="exact"/>
        <w:ind w:left="20" w:right="20" w:firstLine="0"/>
        <w:rPr>
          <w:color w:val="00B050"/>
          <w:sz w:val="24"/>
          <w:szCs w:val="24"/>
        </w:rPr>
      </w:pPr>
      <w:r w:rsidRPr="00BC6B39">
        <w:rPr>
          <w:sz w:val="24"/>
          <w:szCs w:val="24"/>
          <w:u w:val="single"/>
        </w:rPr>
        <w:t>Lico znaku</w:t>
      </w:r>
      <w:r w:rsidRPr="00BC6B39">
        <w:rPr>
          <w:sz w:val="24"/>
          <w:szCs w:val="24"/>
        </w:rPr>
        <w:t xml:space="preserve"> - przednia część znaku, wykonana z materiału o właściwościach odblaskowych (o odbiciu powrotnym – współdrożnym) posiadające parametry zgodne z tab.1.7 załącznika nr 1 do rozporządzenia Ministra Infrastruktury z dnia 3 lipca 2003 r.  [1</w:t>
      </w:r>
      <w:r w:rsidR="002F1246">
        <w:rPr>
          <w:sz w:val="24"/>
          <w:szCs w:val="24"/>
        </w:rPr>
        <w:t>9</w:t>
      </w:r>
      <w:r w:rsidRPr="00BC6B39">
        <w:rPr>
          <w:sz w:val="24"/>
          <w:szCs w:val="24"/>
        </w:rPr>
        <w:t>], wraz z naniesioną treścią.</w:t>
      </w:r>
    </w:p>
    <w:p w:rsidR="00BC6B39" w:rsidRPr="00BC6B39" w:rsidRDefault="00BC6B39" w:rsidP="00BC6B39">
      <w:pPr>
        <w:pStyle w:val="Teksttreci0"/>
        <w:shd w:val="clear" w:color="auto" w:fill="auto"/>
        <w:tabs>
          <w:tab w:val="left" w:pos="596"/>
        </w:tabs>
        <w:spacing w:before="0" w:after="117" w:line="241" w:lineRule="exact"/>
        <w:ind w:left="20" w:right="20" w:firstLine="0"/>
        <w:rPr>
          <w:sz w:val="24"/>
          <w:szCs w:val="24"/>
        </w:rPr>
      </w:pPr>
      <w:r w:rsidRPr="00BC6B39">
        <w:rPr>
          <w:sz w:val="24"/>
          <w:szCs w:val="24"/>
          <w:u w:val="single"/>
        </w:rPr>
        <w:t>Uchwyt montażowy</w:t>
      </w:r>
      <w:r w:rsidRPr="00BC6B39">
        <w:rPr>
          <w:sz w:val="24"/>
          <w:szCs w:val="24"/>
        </w:rPr>
        <w:t xml:space="preserve"> - element służący do zamocowania w sposób stabilny a równocześnie rozłączny tarczy znaku do konstrukcji wsporczej.</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wsporcza znaku</w:t>
      </w:r>
      <w:r w:rsidRPr="00BC6B39">
        <w:rPr>
          <w:sz w:val="24"/>
          <w:szCs w:val="24"/>
        </w:rPr>
        <w:t xml:space="preserve"> - każdy rodzaj konstrukcji (słupek, słup, kratownica, wysięgnik, bramownica, wspornik itp.) wraz z fundamentem, gwarantujący przenoszenie obciążeń zmiennych i stałych działających na konstrukcję i zamontowane na niej znaki lub tablice.</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bezpieczna</w:t>
      </w:r>
      <w:r w:rsidRPr="00BC6B39">
        <w:rPr>
          <w:sz w:val="24"/>
          <w:szCs w:val="24"/>
        </w:rPr>
        <w:t xml:space="preserve"> - konstrukcja wsporcza znaku spełniająca wymagania normy: PN-EN 12767 [9] w określonych klasach pochłaniania energii zderzenia oraz poziomach bezpieczeństwa.</w:t>
      </w:r>
    </w:p>
    <w:p w:rsidR="00BC6B39" w:rsidRPr="00BC6B39" w:rsidRDefault="00BC6B39" w:rsidP="00BC6B39">
      <w:pPr>
        <w:pStyle w:val="Teksttreci0"/>
        <w:shd w:val="clear" w:color="auto" w:fill="auto"/>
        <w:tabs>
          <w:tab w:val="left" w:pos="499"/>
        </w:tabs>
        <w:spacing w:before="0"/>
        <w:ind w:left="20" w:right="20" w:firstLine="0"/>
        <w:rPr>
          <w:sz w:val="24"/>
          <w:szCs w:val="24"/>
        </w:rPr>
      </w:pPr>
      <w:r w:rsidRPr="00BC6B39">
        <w:rPr>
          <w:sz w:val="24"/>
          <w:szCs w:val="24"/>
          <w:u w:val="single"/>
        </w:rPr>
        <w:t>Znak drogowy nowy</w:t>
      </w:r>
      <w:r w:rsidRPr="00BC6B39">
        <w:rPr>
          <w:sz w:val="24"/>
          <w:szCs w:val="24"/>
        </w:rPr>
        <w:t xml:space="preserve"> - znak umieszczony  na drodze lub magazynowany w okresie do 12 miesięcy od daty produkcji.</w:t>
      </w:r>
    </w:p>
    <w:p w:rsidR="00BC6B39" w:rsidRPr="00BC6B39" w:rsidRDefault="00BC6B39" w:rsidP="00BC6B39">
      <w:pPr>
        <w:pStyle w:val="Teksttreci0"/>
        <w:shd w:val="clear" w:color="auto" w:fill="auto"/>
        <w:tabs>
          <w:tab w:val="left" w:pos="596"/>
        </w:tabs>
        <w:spacing w:before="0"/>
        <w:ind w:left="20" w:right="20" w:firstLine="0"/>
        <w:rPr>
          <w:sz w:val="24"/>
          <w:szCs w:val="24"/>
        </w:rPr>
      </w:pPr>
      <w:r w:rsidRPr="00BC6B39">
        <w:rPr>
          <w:sz w:val="24"/>
          <w:szCs w:val="24"/>
          <w:u w:val="single"/>
        </w:rPr>
        <w:t>Znak drogowy użytkowany (eksploatowany</w:t>
      </w:r>
      <w:r w:rsidRPr="00BC6B39">
        <w:rPr>
          <w:sz w:val="24"/>
          <w:szCs w:val="24"/>
        </w:rPr>
        <w:t>) - znak umieszczony na drodze lub magazynowany przez okres dłuższy niż 12 miesięcy od daty produkcji.</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Pr="00BC6B39" w:rsidRDefault="00BC6B39" w:rsidP="00AB7223">
      <w:pPr>
        <w:pStyle w:val="Teksttreci0"/>
        <w:shd w:val="clear" w:color="auto" w:fill="auto"/>
        <w:tabs>
          <w:tab w:val="left" w:pos="654"/>
        </w:tabs>
        <w:spacing w:before="0" w:after="156"/>
        <w:ind w:right="20" w:firstLine="0"/>
        <w:rPr>
          <w:sz w:val="24"/>
          <w:szCs w:val="24"/>
        </w:rPr>
      </w:pPr>
      <w:r w:rsidRPr="00BC6B39">
        <w:rPr>
          <w:sz w:val="24"/>
          <w:szCs w:val="24"/>
        </w:rPr>
        <w:t>Pozostałe określenia podstawowe są zgodne z obowiązującymi, odpowiednimi polskimi normami i z definicjami podanymi w OST D-M-00.00.00 „Wymagania ogólne” pkt 1.4.</w:t>
      </w:r>
    </w:p>
    <w:p w:rsidR="00BC6B39" w:rsidRPr="00744027" w:rsidRDefault="00BC6B39" w:rsidP="00744027">
      <w:pPr>
        <w:pStyle w:val="Tekstpodstawowy2"/>
        <w:suppressAutoHyphens w:val="0"/>
        <w:ind w:left="720"/>
        <w:contextualSpacing/>
        <w:rPr>
          <w:spacing w:val="-3"/>
          <w:szCs w:val="24"/>
          <w:u w:val="single"/>
        </w:rPr>
      </w:pPr>
    </w:p>
    <w:p w:rsidR="004C41D2" w:rsidRPr="000167A1" w:rsidRDefault="000167A1" w:rsidP="000167A1">
      <w:pPr>
        <w:pStyle w:val="Akapitzlist"/>
        <w:numPr>
          <w:ilvl w:val="1"/>
          <w:numId w:val="39"/>
        </w:numPr>
        <w:tabs>
          <w:tab w:val="left" w:pos="450"/>
        </w:tabs>
        <w:rPr>
          <w:b/>
          <w:sz w:val="24"/>
          <w:szCs w:val="24"/>
        </w:rPr>
      </w:pPr>
      <w:r>
        <w:rPr>
          <w:b/>
          <w:sz w:val="24"/>
          <w:szCs w:val="24"/>
        </w:rPr>
        <w:t>Ogólne wymagania dotyczące robót</w:t>
      </w:r>
    </w:p>
    <w:p w:rsidR="004C41D2" w:rsidRPr="00744027" w:rsidRDefault="004C41D2" w:rsidP="00744027">
      <w:pPr>
        <w:contextualSpacing/>
        <w:rPr>
          <w:sz w:val="24"/>
          <w:szCs w:val="24"/>
        </w:rPr>
      </w:pPr>
    </w:p>
    <w:p w:rsidR="00C45981" w:rsidRDefault="002776AE" w:rsidP="0020703D">
      <w:pPr>
        <w:tabs>
          <w:tab w:val="left" w:pos="5647"/>
        </w:tabs>
        <w:contextualSpacing/>
        <w:rPr>
          <w:sz w:val="24"/>
          <w:szCs w:val="24"/>
        </w:rPr>
      </w:pPr>
      <w:r w:rsidRPr="00744027">
        <w:rPr>
          <w:sz w:val="24"/>
          <w:szCs w:val="24"/>
        </w:rPr>
        <w:t>Informacje ogólne zwarto w D</w:t>
      </w:r>
      <w:r w:rsidR="004C41D2" w:rsidRPr="00744027">
        <w:rPr>
          <w:sz w:val="24"/>
          <w:szCs w:val="24"/>
        </w:rPr>
        <w:t>-00.00.00.</w:t>
      </w:r>
      <w:r w:rsidR="000167A1">
        <w:rPr>
          <w:sz w:val="24"/>
          <w:szCs w:val="24"/>
        </w:rPr>
        <w:t xml:space="preserve"> pkt 1.5.</w:t>
      </w:r>
      <w:r w:rsidR="00C45981">
        <w:rPr>
          <w:sz w:val="24"/>
          <w:szCs w:val="24"/>
        </w:rPr>
        <w:t xml:space="preserve"> </w:t>
      </w:r>
    </w:p>
    <w:p w:rsidR="0080660D" w:rsidRDefault="0080660D" w:rsidP="0020703D">
      <w:pPr>
        <w:tabs>
          <w:tab w:val="left" w:pos="5647"/>
        </w:tabs>
        <w:contextualSpacing/>
        <w:rPr>
          <w:sz w:val="24"/>
          <w:szCs w:val="24"/>
        </w:rPr>
      </w:pPr>
      <w:r>
        <w:rPr>
          <w:sz w:val="24"/>
          <w:szCs w:val="24"/>
        </w:rPr>
        <w:t>Należy za</w:t>
      </w:r>
      <w:r w:rsidR="00AD4B5A">
        <w:rPr>
          <w:sz w:val="24"/>
          <w:szCs w:val="24"/>
        </w:rPr>
        <w:t>pewnić zgodność rozwiązań materiałowych z PFU i Projektem stałej organizacji ruchu.</w:t>
      </w:r>
    </w:p>
    <w:p w:rsidR="0080660D" w:rsidRPr="00744027" w:rsidRDefault="0080660D" w:rsidP="0020703D">
      <w:pPr>
        <w:tabs>
          <w:tab w:val="left" w:pos="5647"/>
        </w:tabs>
        <w:contextualSpacing/>
        <w:rPr>
          <w:sz w:val="24"/>
          <w:szCs w:val="24"/>
        </w:rPr>
      </w:pPr>
    </w:p>
    <w:p w:rsidR="004C41D2" w:rsidRPr="00744027" w:rsidRDefault="004C41D2" w:rsidP="00744027">
      <w:pPr>
        <w:contextualSpacing/>
        <w:rPr>
          <w:sz w:val="24"/>
          <w:szCs w:val="24"/>
        </w:rPr>
      </w:pPr>
    </w:p>
    <w:p w:rsidR="004C41D2" w:rsidRPr="00744027" w:rsidRDefault="004C41D2" w:rsidP="000167A1">
      <w:pPr>
        <w:pStyle w:val="Akapitzlist"/>
        <w:numPr>
          <w:ilvl w:val="1"/>
          <w:numId w:val="39"/>
        </w:numPr>
        <w:tabs>
          <w:tab w:val="left" w:pos="450"/>
        </w:tabs>
        <w:ind w:left="0" w:firstLine="0"/>
        <w:rPr>
          <w:b/>
          <w:sz w:val="24"/>
          <w:szCs w:val="24"/>
        </w:rPr>
      </w:pPr>
      <w:r w:rsidRPr="00744027">
        <w:rPr>
          <w:b/>
          <w:sz w:val="24"/>
          <w:szCs w:val="24"/>
        </w:rPr>
        <w:t>Nazwy i kody</w:t>
      </w:r>
    </w:p>
    <w:p w:rsidR="004C41D2" w:rsidRPr="00744027" w:rsidRDefault="004C41D2" w:rsidP="00744027">
      <w:pPr>
        <w:contextualSpacing/>
        <w:rPr>
          <w:sz w:val="24"/>
          <w:szCs w:val="24"/>
        </w:rPr>
      </w:pP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Grupa robót:</w:t>
      </w:r>
      <w:r w:rsidRPr="00744027">
        <w:rPr>
          <w:sz w:val="24"/>
          <w:szCs w:val="24"/>
        </w:rPr>
        <w:tab/>
        <w:t>45200000-9</w:t>
      </w:r>
      <w:r w:rsidRPr="00744027">
        <w:rPr>
          <w:sz w:val="24"/>
          <w:szCs w:val="24"/>
        </w:rPr>
        <w:tab/>
        <w:t>Roboty budowlane w zakresie wznoszenia kompletnych obiektów budowlanych lub ich części oraz robót w zakresie inżynierii lądowej i wodnej.</w:t>
      </w: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Klasa robót:</w:t>
      </w:r>
      <w:r w:rsidRPr="00744027">
        <w:rPr>
          <w:sz w:val="24"/>
          <w:szCs w:val="24"/>
        </w:rPr>
        <w:tab/>
        <w:t>45230000-8</w:t>
      </w:r>
      <w:r w:rsidRPr="00744027">
        <w:rPr>
          <w:sz w:val="24"/>
          <w:szCs w:val="24"/>
        </w:rPr>
        <w:tab/>
        <w:t>Roboty budowlane w zakresie budowy rurociągów, linii komunikacyjnych i elektroenergetycznych, autostrad, dróg, lotnisk i kolei, wyrównania terenu.</w:t>
      </w:r>
    </w:p>
    <w:p w:rsidR="004C41D2" w:rsidRDefault="004C41D2" w:rsidP="00744027">
      <w:pPr>
        <w:tabs>
          <w:tab w:val="left" w:pos="1701"/>
          <w:tab w:val="left" w:pos="3119"/>
        </w:tabs>
        <w:ind w:left="3119" w:hanging="3119"/>
        <w:contextualSpacing/>
        <w:rPr>
          <w:sz w:val="24"/>
          <w:szCs w:val="24"/>
        </w:rPr>
      </w:pPr>
      <w:r w:rsidRPr="00744027">
        <w:rPr>
          <w:sz w:val="24"/>
          <w:szCs w:val="24"/>
        </w:rPr>
        <w:t>Kategoria robót:</w:t>
      </w:r>
      <w:r w:rsidRPr="00744027">
        <w:rPr>
          <w:sz w:val="24"/>
          <w:szCs w:val="24"/>
        </w:rPr>
        <w:tab/>
        <w:t>45233000-9</w:t>
      </w:r>
      <w:r w:rsidRPr="00744027">
        <w:rPr>
          <w:sz w:val="24"/>
          <w:szCs w:val="24"/>
        </w:rPr>
        <w:tab/>
        <w:t>Roboty w zakresie konstruowania, fundamentowania oraz wykonywania nawierzchni autostrad, dróg.</w:t>
      </w:r>
    </w:p>
    <w:p w:rsidR="00226D00" w:rsidRDefault="00226D00" w:rsidP="00744027">
      <w:pPr>
        <w:contextualSpacing/>
        <w:rPr>
          <w:sz w:val="24"/>
          <w:szCs w:val="24"/>
        </w:rPr>
      </w:pPr>
    </w:p>
    <w:p w:rsidR="00226D00" w:rsidRDefault="00226D00" w:rsidP="00744027">
      <w:pPr>
        <w:contextualSpacing/>
        <w:rPr>
          <w:sz w:val="24"/>
          <w:szCs w:val="24"/>
        </w:rPr>
      </w:pPr>
    </w:p>
    <w:p w:rsidR="00C35FD6" w:rsidRPr="00226D00" w:rsidRDefault="00226D00" w:rsidP="00226D00">
      <w:pPr>
        <w:pStyle w:val="Akapitzlist"/>
        <w:numPr>
          <w:ilvl w:val="0"/>
          <w:numId w:val="32"/>
        </w:numPr>
        <w:ind w:left="270" w:hanging="270"/>
        <w:rPr>
          <w:b/>
          <w:sz w:val="24"/>
          <w:szCs w:val="24"/>
        </w:rPr>
      </w:pPr>
      <w:r>
        <w:rPr>
          <w:b/>
          <w:sz w:val="24"/>
          <w:szCs w:val="24"/>
        </w:rPr>
        <w:t>MA</w:t>
      </w:r>
      <w:r w:rsidR="00C35FD6" w:rsidRPr="00226D00">
        <w:rPr>
          <w:b/>
          <w:sz w:val="24"/>
          <w:szCs w:val="24"/>
        </w:rPr>
        <w:t>TERIAŁY</w:t>
      </w:r>
    </w:p>
    <w:p w:rsidR="00C35FD6" w:rsidRPr="00744027" w:rsidRDefault="00C35FD6" w:rsidP="00744027">
      <w:pPr>
        <w:contextualSpacing/>
        <w:rPr>
          <w:sz w:val="24"/>
          <w:szCs w:val="24"/>
        </w:rPr>
      </w:pPr>
    </w:p>
    <w:p w:rsidR="00226D00" w:rsidRPr="00226D00" w:rsidRDefault="00226D00" w:rsidP="00226D00">
      <w:pPr>
        <w:pStyle w:val="Akapitzlist"/>
        <w:numPr>
          <w:ilvl w:val="0"/>
          <w:numId w:val="35"/>
        </w:numPr>
        <w:tabs>
          <w:tab w:val="left" w:pos="450"/>
        </w:tabs>
        <w:rPr>
          <w:b/>
          <w:vanish/>
          <w:sz w:val="24"/>
          <w:szCs w:val="24"/>
        </w:rPr>
      </w:pPr>
    </w:p>
    <w:p w:rsidR="00226D00" w:rsidRPr="00226D00" w:rsidRDefault="00226D00" w:rsidP="00226D00">
      <w:pPr>
        <w:pStyle w:val="Akapitzlist"/>
        <w:numPr>
          <w:ilvl w:val="0"/>
          <w:numId w:val="35"/>
        </w:numPr>
        <w:tabs>
          <w:tab w:val="left" w:pos="450"/>
        </w:tabs>
        <w:rPr>
          <w:b/>
          <w:vanish/>
          <w:sz w:val="24"/>
          <w:szCs w:val="24"/>
        </w:rPr>
      </w:pPr>
    </w:p>
    <w:p w:rsidR="00C35FD6" w:rsidRPr="00226D00" w:rsidRDefault="00226D00" w:rsidP="00226D00">
      <w:pPr>
        <w:pStyle w:val="Akapitzlist"/>
        <w:numPr>
          <w:ilvl w:val="1"/>
          <w:numId w:val="35"/>
        </w:numPr>
        <w:tabs>
          <w:tab w:val="left" w:pos="450"/>
        </w:tabs>
        <w:ind w:left="0" w:firstLine="0"/>
        <w:rPr>
          <w:b/>
          <w:sz w:val="24"/>
          <w:szCs w:val="24"/>
        </w:rPr>
      </w:pPr>
      <w:r>
        <w:rPr>
          <w:b/>
          <w:sz w:val="24"/>
          <w:szCs w:val="24"/>
        </w:rPr>
        <w:t>O</w:t>
      </w:r>
      <w:r w:rsidR="00C35FD6" w:rsidRPr="00226D00">
        <w:rPr>
          <w:b/>
          <w:sz w:val="24"/>
          <w:szCs w:val="24"/>
        </w:rPr>
        <w:t>gólne wymagania dotyczące materiałów</w:t>
      </w:r>
    </w:p>
    <w:p w:rsidR="00C35FD6" w:rsidRPr="00744027" w:rsidRDefault="00C35FD6" w:rsidP="00744027">
      <w:pPr>
        <w:contextualSpacing/>
        <w:rPr>
          <w:rFonts w:eastAsia="MS Mincho"/>
          <w:sz w:val="24"/>
          <w:szCs w:val="24"/>
        </w:rPr>
      </w:pPr>
    </w:p>
    <w:p w:rsidR="00C35FD6" w:rsidRDefault="00C35FD6" w:rsidP="00744027">
      <w:pPr>
        <w:pStyle w:val="Tekstpodstawowy2"/>
        <w:suppressAutoHyphens w:val="0"/>
        <w:contextualSpacing/>
        <w:rPr>
          <w:rFonts w:eastAsia="MS Mincho"/>
          <w:szCs w:val="24"/>
        </w:rPr>
      </w:pPr>
      <w:r w:rsidRPr="00744027">
        <w:rPr>
          <w:rFonts w:eastAsia="MS Mincho"/>
          <w:szCs w:val="24"/>
        </w:rPr>
        <w:t>Ogólne wymagania dotyczące materiałów, ich pozyskiwania i skła</w:t>
      </w:r>
      <w:r w:rsidR="002776AE" w:rsidRPr="00744027">
        <w:rPr>
          <w:rFonts w:eastAsia="MS Mincho"/>
          <w:szCs w:val="24"/>
        </w:rPr>
        <w:t>dowania podano w Specyfikacji D</w:t>
      </w:r>
      <w:r w:rsidR="00696743" w:rsidRPr="00744027">
        <w:rPr>
          <w:rFonts w:eastAsia="MS Mincho"/>
          <w:szCs w:val="24"/>
        </w:rPr>
        <w:t>M</w:t>
      </w:r>
      <w:r w:rsidRPr="00744027">
        <w:rPr>
          <w:rFonts w:eastAsia="MS Mincho"/>
          <w:szCs w:val="24"/>
        </w:rPr>
        <w:t>-00.00.00 "Wymagania ogólne" punkt 2.</w:t>
      </w:r>
    </w:p>
    <w:p w:rsidR="000167A1" w:rsidRDefault="000167A1" w:rsidP="00744027">
      <w:pPr>
        <w:pStyle w:val="Tekstpodstawowy2"/>
        <w:suppressAutoHyphens w:val="0"/>
        <w:contextualSpacing/>
        <w:rPr>
          <w:rFonts w:eastAsia="MS Mincho"/>
          <w:szCs w:val="24"/>
        </w:rPr>
      </w:pPr>
      <w:r>
        <w:rPr>
          <w:rFonts w:eastAsia="MS Mincho"/>
          <w:szCs w:val="24"/>
        </w:rPr>
        <w:t xml:space="preserve">Przed przystąpieniem do robót należy przedłożyć materiał do zatwierdzenia Inżyniera oraz uzyskać ich akceptację. </w:t>
      </w:r>
    </w:p>
    <w:p w:rsidR="00781BDE" w:rsidRDefault="00F411D0" w:rsidP="00744027">
      <w:pPr>
        <w:pStyle w:val="Tekstpodstawowy2"/>
        <w:suppressAutoHyphens w:val="0"/>
        <w:contextualSpacing/>
        <w:rPr>
          <w:rFonts w:eastAsia="MS Mincho"/>
          <w:szCs w:val="24"/>
        </w:rPr>
      </w:pPr>
      <w:r>
        <w:rPr>
          <w:rFonts w:eastAsia="MS Mincho"/>
          <w:szCs w:val="24"/>
        </w:rPr>
        <w:t>Wszystkie materiały muszą posiadać aktualne atesty, aprobaty oraz pozostałe wymagane dokumenty zgodnie Ustawą o Wyrobach Budowlanych</w:t>
      </w:r>
      <w:r w:rsidR="002F1246">
        <w:rPr>
          <w:rFonts w:eastAsia="MS Mincho"/>
          <w:szCs w:val="24"/>
        </w:rPr>
        <w:t>[21]</w:t>
      </w:r>
      <w:r>
        <w:rPr>
          <w:rFonts w:eastAsia="MS Mincho"/>
          <w:szCs w:val="24"/>
        </w:rPr>
        <w:t>.</w:t>
      </w:r>
    </w:p>
    <w:p w:rsidR="00910643" w:rsidRPr="00744027" w:rsidRDefault="00910643" w:rsidP="00744027">
      <w:pPr>
        <w:pStyle w:val="Tekstpodstawowy2"/>
        <w:suppressAutoHyphens w:val="0"/>
        <w:contextualSpacing/>
        <w:rPr>
          <w:rFonts w:eastAsia="MS Mincho"/>
          <w:szCs w:val="24"/>
        </w:rPr>
      </w:pPr>
    </w:p>
    <w:p w:rsidR="0002735B" w:rsidRPr="00226D00" w:rsidRDefault="0002735B" w:rsidP="00226D00">
      <w:pPr>
        <w:pStyle w:val="Akapitzlist"/>
        <w:numPr>
          <w:ilvl w:val="1"/>
          <w:numId w:val="35"/>
        </w:numPr>
        <w:tabs>
          <w:tab w:val="left" w:pos="450"/>
        </w:tabs>
        <w:ind w:left="0" w:firstLine="0"/>
        <w:rPr>
          <w:b/>
          <w:sz w:val="24"/>
          <w:szCs w:val="24"/>
        </w:rPr>
      </w:pPr>
      <w:r w:rsidRPr="00226D00">
        <w:rPr>
          <w:b/>
          <w:sz w:val="24"/>
          <w:szCs w:val="24"/>
        </w:rPr>
        <w:t>Dopuszczenie do stosowania</w:t>
      </w:r>
    </w:p>
    <w:p w:rsidR="00EE5148" w:rsidRPr="00744027" w:rsidRDefault="00EE5148" w:rsidP="00744027">
      <w:pPr>
        <w:pStyle w:val="Tekstpodstawowy2"/>
        <w:suppressAutoHyphens w:val="0"/>
        <w:contextualSpacing/>
        <w:rPr>
          <w:rFonts w:eastAsia="MS Mincho"/>
          <w:szCs w:val="24"/>
        </w:rPr>
      </w:pPr>
    </w:p>
    <w:p w:rsidR="005473FA" w:rsidRPr="005473FA" w:rsidRDefault="005473FA" w:rsidP="005473FA">
      <w:pPr>
        <w:rPr>
          <w:sz w:val="24"/>
          <w:szCs w:val="24"/>
        </w:rPr>
      </w:pPr>
      <w:r w:rsidRPr="005473FA">
        <w:rPr>
          <w:sz w:val="24"/>
          <w:szCs w:val="24"/>
        </w:rPr>
        <w:t>Znaki drogowe powinny spełniać wymagania załącznika nr 1 rozporządzenia Ministra Infrastruktury  z dnia 3 lipca 2003 r. [1</w:t>
      </w:r>
      <w:r>
        <w:rPr>
          <w:sz w:val="24"/>
          <w:szCs w:val="24"/>
        </w:rPr>
        <w:t>9</w:t>
      </w:r>
      <w:r w:rsidRPr="005473FA">
        <w:rPr>
          <w:sz w:val="24"/>
          <w:szCs w:val="24"/>
        </w:rPr>
        <w:t>]</w:t>
      </w:r>
    </w:p>
    <w:p w:rsidR="005473FA" w:rsidRPr="005473FA" w:rsidRDefault="005473FA" w:rsidP="005473FA">
      <w:pPr>
        <w:rPr>
          <w:sz w:val="24"/>
          <w:szCs w:val="24"/>
        </w:rPr>
      </w:pPr>
    </w:p>
    <w:p w:rsidR="005473FA" w:rsidRDefault="005473FA" w:rsidP="005473FA">
      <w:pPr>
        <w:contextualSpacing/>
        <w:rPr>
          <w:sz w:val="24"/>
          <w:szCs w:val="24"/>
        </w:rPr>
      </w:pPr>
      <w:r w:rsidRPr="005473FA">
        <w:rPr>
          <w:sz w:val="24"/>
          <w:szCs w:val="24"/>
        </w:rPr>
        <w:t>Producent znaków drogowych jest obowiązany posiadać dla swojego wyrobu Certyfikat Zgodności WE nadany mu przez uprawnioną jednostkę certyfikującą i wystawioną przez siebie Deklarację Zgodności WE, zgodnie z normą PN EN 12899-1[1</w:t>
      </w:r>
      <w:r>
        <w:rPr>
          <w:sz w:val="24"/>
          <w:szCs w:val="24"/>
        </w:rPr>
        <w:t>3</w:t>
      </w:r>
      <w:r w:rsidRPr="005473FA">
        <w:rPr>
          <w:sz w:val="24"/>
          <w:szCs w:val="24"/>
        </w:rPr>
        <w:t xml:space="preserve">]. Producent oznaczy wyroby symbolem CE zgodnie z rozporządzeniem Ministra Infrastruktury z dnia 11 sierpnia 2004 r. [19]. Folie odblaskowe stosowane na lica znaków drogowych powinny posiadać Certyfikat Zgodności WE lub ETA. </w:t>
      </w:r>
    </w:p>
    <w:p w:rsidR="005473FA" w:rsidRDefault="005473FA" w:rsidP="005473FA">
      <w:pPr>
        <w:contextualSpacing/>
        <w:rPr>
          <w:sz w:val="24"/>
          <w:szCs w:val="24"/>
        </w:rPr>
      </w:pPr>
    </w:p>
    <w:p w:rsidR="005473FA" w:rsidRDefault="005473FA" w:rsidP="00744027">
      <w:pPr>
        <w:contextualSpacing/>
        <w:rPr>
          <w:sz w:val="24"/>
          <w:szCs w:val="24"/>
        </w:rPr>
      </w:pPr>
      <w:r w:rsidRPr="005473FA">
        <w:rPr>
          <w:sz w:val="24"/>
          <w:szCs w:val="24"/>
        </w:rPr>
        <w:t>Konstrukcje wsporcze bezpieczne powinny posiadać zapisy w certyfikacie zgodności WE o spełnianych klasach bezpieczeństwa.</w:t>
      </w:r>
    </w:p>
    <w:p w:rsidR="00EA2D51" w:rsidRPr="00744027" w:rsidRDefault="005473FA" w:rsidP="00744027">
      <w:pPr>
        <w:contextualSpacing/>
        <w:rPr>
          <w:sz w:val="24"/>
          <w:szCs w:val="24"/>
        </w:rPr>
      </w:pPr>
      <w:r w:rsidRPr="00744027">
        <w:rPr>
          <w:sz w:val="24"/>
          <w:szCs w:val="24"/>
        </w:rPr>
        <w:t xml:space="preserve"> </w:t>
      </w:r>
    </w:p>
    <w:p w:rsidR="007B1253" w:rsidRPr="00226D00" w:rsidRDefault="006852C0" w:rsidP="00226D00">
      <w:pPr>
        <w:pStyle w:val="Akapitzlist"/>
        <w:numPr>
          <w:ilvl w:val="1"/>
          <w:numId w:val="35"/>
        </w:numPr>
        <w:tabs>
          <w:tab w:val="left" w:pos="450"/>
        </w:tabs>
        <w:ind w:left="0" w:firstLine="0"/>
        <w:rPr>
          <w:b/>
          <w:sz w:val="24"/>
          <w:szCs w:val="24"/>
        </w:rPr>
      </w:pPr>
      <w:r>
        <w:rPr>
          <w:b/>
          <w:sz w:val="24"/>
          <w:szCs w:val="24"/>
        </w:rPr>
        <w:lastRenderedPageBreak/>
        <w:t>Fundamenty</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 xml:space="preserve">Fundamenty dla zamocowania konstrukcji wsporczych znaków </w:t>
      </w:r>
      <w:r w:rsidR="00101A3A" w:rsidRPr="00744027">
        <w:rPr>
          <w:sz w:val="24"/>
          <w:szCs w:val="24"/>
        </w:rPr>
        <w:t xml:space="preserve">lub urządzeń bezpieczeństwa ruchu </w:t>
      </w:r>
      <w:r w:rsidRPr="00744027">
        <w:rPr>
          <w:sz w:val="24"/>
          <w:szCs w:val="24"/>
        </w:rPr>
        <w:t>mogą być wykonywane jako:</w:t>
      </w:r>
    </w:p>
    <w:p w:rsidR="007B1253" w:rsidRPr="00744027" w:rsidRDefault="007B1253" w:rsidP="00744027">
      <w:pPr>
        <w:numPr>
          <w:ilvl w:val="0"/>
          <w:numId w:val="12"/>
        </w:numPr>
        <w:contextualSpacing/>
        <w:rPr>
          <w:sz w:val="24"/>
          <w:szCs w:val="24"/>
        </w:rPr>
      </w:pPr>
      <w:r w:rsidRPr="00744027">
        <w:rPr>
          <w:sz w:val="24"/>
          <w:szCs w:val="24"/>
        </w:rPr>
        <w:t>prefabrykaty betonowe,</w:t>
      </w:r>
    </w:p>
    <w:p w:rsidR="007B1253" w:rsidRPr="00744027" w:rsidRDefault="007B1253" w:rsidP="00744027">
      <w:pPr>
        <w:numPr>
          <w:ilvl w:val="0"/>
          <w:numId w:val="12"/>
        </w:numPr>
        <w:contextualSpacing/>
        <w:rPr>
          <w:sz w:val="24"/>
          <w:szCs w:val="24"/>
        </w:rPr>
      </w:pPr>
      <w:r w:rsidRPr="00744027">
        <w:rPr>
          <w:sz w:val="24"/>
          <w:szCs w:val="24"/>
        </w:rPr>
        <w:t>z betonu wykonywanego "na mokro",</w:t>
      </w:r>
    </w:p>
    <w:p w:rsidR="007B1253" w:rsidRPr="00744027" w:rsidRDefault="007B1253" w:rsidP="00744027">
      <w:pPr>
        <w:numPr>
          <w:ilvl w:val="0"/>
          <w:numId w:val="12"/>
        </w:numPr>
        <w:contextualSpacing/>
        <w:rPr>
          <w:sz w:val="24"/>
          <w:szCs w:val="24"/>
        </w:rPr>
      </w:pPr>
      <w:r w:rsidRPr="00744027">
        <w:rPr>
          <w:sz w:val="24"/>
          <w:szCs w:val="24"/>
        </w:rPr>
        <w:t>z betonu zbrojonego,</w:t>
      </w:r>
    </w:p>
    <w:p w:rsidR="007B1253" w:rsidRPr="00744027" w:rsidRDefault="007B1253" w:rsidP="00744027">
      <w:pPr>
        <w:numPr>
          <w:ilvl w:val="0"/>
          <w:numId w:val="12"/>
        </w:numPr>
        <w:contextualSpacing/>
        <w:rPr>
          <w:sz w:val="24"/>
          <w:szCs w:val="24"/>
        </w:rPr>
      </w:pPr>
      <w:r w:rsidRPr="00744027">
        <w:rPr>
          <w:sz w:val="24"/>
          <w:szCs w:val="24"/>
        </w:rPr>
        <w:t>inne rozwiązania zaakceptowane przez Inżyniera.</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Dla fundamentów należy opracować dokumentację techniczną zgodną z obowiązującymi przepisami. Fundamenty pod konstrukcje wsporcze oznakowania kierunkowego należy wykonać z betonu lub betonu zbrojonego klasy, co najmniej C16/20 wg PN-EN 206</w:t>
      </w:r>
      <w:r w:rsidR="005D4976">
        <w:rPr>
          <w:sz w:val="24"/>
          <w:szCs w:val="24"/>
        </w:rPr>
        <w:t>-</w:t>
      </w:r>
      <w:r w:rsidRPr="00744027">
        <w:rPr>
          <w:sz w:val="24"/>
          <w:szCs w:val="24"/>
        </w:rPr>
        <w:softHyphen/>
        <w:t>1 [</w:t>
      </w:r>
      <w:r w:rsidR="005D4976">
        <w:rPr>
          <w:sz w:val="24"/>
          <w:szCs w:val="24"/>
        </w:rPr>
        <w:t>7</w:t>
      </w:r>
      <w:r w:rsidRPr="00744027">
        <w:rPr>
          <w:sz w:val="24"/>
          <w:szCs w:val="24"/>
        </w:rPr>
        <w:t>]. Zbrojenia stalowe należy wyko</w:t>
      </w:r>
      <w:r w:rsidR="005D4976">
        <w:rPr>
          <w:sz w:val="24"/>
          <w:szCs w:val="24"/>
        </w:rPr>
        <w:t>nać zgodnie z normą PN-B-03264</w:t>
      </w:r>
      <w:r w:rsidRPr="00744027">
        <w:rPr>
          <w:sz w:val="24"/>
          <w:szCs w:val="24"/>
        </w:rPr>
        <w:t xml:space="preserve"> [</w:t>
      </w:r>
      <w:r w:rsidR="005D4976">
        <w:rPr>
          <w:sz w:val="24"/>
          <w:szCs w:val="24"/>
        </w:rPr>
        <w:t>6</w:t>
      </w:r>
      <w:r w:rsidRPr="00744027">
        <w:rPr>
          <w:sz w:val="24"/>
          <w:szCs w:val="24"/>
        </w:rPr>
        <w:t>]. Wykonanie i osadzenie kotew fundamentowych należy wykonać zgodnie z normą PN-B</w:t>
      </w:r>
      <w:r w:rsidRPr="00744027">
        <w:rPr>
          <w:sz w:val="24"/>
          <w:szCs w:val="24"/>
        </w:rPr>
        <w:softHyphen/>
        <w:t>03215:1998 [</w:t>
      </w:r>
      <w:r w:rsidR="005D4976">
        <w:rPr>
          <w:sz w:val="24"/>
          <w:szCs w:val="24"/>
        </w:rPr>
        <w:t>5</w:t>
      </w:r>
      <w:r w:rsidRPr="00744027">
        <w:rPr>
          <w:sz w:val="24"/>
          <w:szCs w:val="24"/>
        </w:rPr>
        <w:t>]. Posadowienie fundamentów należy wykonać na głębokość poniżej przemarzania gruntu.</w:t>
      </w:r>
    </w:p>
    <w:p w:rsidR="00101A3A" w:rsidRPr="00744027" w:rsidRDefault="00101A3A" w:rsidP="00744027">
      <w:pPr>
        <w:contextualSpacing/>
        <w:rPr>
          <w:sz w:val="24"/>
          <w:szCs w:val="24"/>
        </w:rPr>
      </w:pPr>
    </w:p>
    <w:p w:rsidR="007B1253" w:rsidRPr="00226D00" w:rsidRDefault="007B1253" w:rsidP="00226D00">
      <w:pPr>
        <w:pStyle w:val="Akapitzlist"/>
        <w:numPr>
          <w:ilvl w:val="1"/>
          <w:numId w:val="35"/>
        </w:numPr>
        <w:tabs>
          <w:tab w:val="left" w:pos="450"/>
        </w:tabs>
        <w:ind w:left="0" w:firstLine="0"/>
        <w:rPr>
          <w:b/>
          <w:sz w:val="24"/>
          <w:szCs w:val="24"/>
        </w:rPr>
      </w:pPr>
      <w:r w:rsidRPr="00226D00">
        <w:rPr>
          <w:b/>
          <w:sz w:val="24"/>
          <w:szCs w:val="24"/>
        </w:rPr>
        <w:t>Konstrukcje wsporcze</w:t>
      </w:r>
    </w:p>
    <w:p w:rsidR="007B1253" w:rsidRPr="00744027" w:rsidRDefault="007B1253" w:rsidP="00744027">
      <w:pPr>
        <w:contextualSpacing/>
        <w:rPr>
          <w:sz w:val="24"/>
          <w:szCs w:val="24"/>
        </w:rPr>
      </w:pPr>
    </w:p>
    <w:p w:rsidR="007B1253" w:rsidRPr="008F43E1" w:rsidRDefault="007B1253" w:rsidP="008F43E1">
      <w:pPr>
        <w:pStyle w:val="Akapitzlist"/>
        <w:numPr>
          <w:ilvl w:val="2"/>
          <w:numId w:val="35"/>
        </w:numPr>
        <w:ind w:left="0" w:firstLine="0"/>
        <w:rPr>
          <w:b/>
          <w:sz w:val="24"/>
          <w:szCs w:val="24"/>
        </w:rPr>
      </w:pPr>
      <w:r w:rsidRPr="008F43E1">
        <w:rPr>
          <w:b/>
          <w:sz w:val="24"/>
          <w:szCs w:val="24"/>
        </w:rPr>
        <w:t>Ogólne charakterystyki konstrukcji</w:t>
      </w:r>
    </w:p>
    <w:p w:rsidR="007B1253" w:rsidRPr="00744027" w:rsidRDefault="007B1253" w:rsidP="00744027">
      <w:pPr>
        <w:contextualSpacing/>
        <w:rPr>
          <w:sz w:val="24"/>
          <w:szCs w:val="24"/>
        </w:rPr>
      </w:pPr>
    </w:p>
    <w:p w:rsidR="00E47B11" w:rsidRPr="00E47B11" w:rsidRDefault="00E47B11" w:rsidP="00E47B11">
      <w:pPr>
        <w:contextualSpacing/>
        <w:rPr>
          <w:sz w:val="24"/>
          <w:szCs w:val="24"/>
        </w:rPr>
      </w:pPr>
      <w:r w:rsidRPr="00E47B11">
        <w:rPr>
          <w:sz w:val="24"/>
          <w:szCs w:val="24"/>
        </w:rPr>
        <w:t xml:space="preserve">Wszystkie materiały użyte do wykonania konstrukcji wsporczych nie mogą posiadać  wad zewnętrznych takich jak : spękania, łuski, krzywizny, rysy, zwalcowania, naderwania, grudy. Wszystkie obrabiane powierzchnie powinny być równe i mieć zaokrąglone brzegi.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Konstrukcje wsporcze znaków pionowych należy wykonać zgodnie z dokumentacją projektową uwzględniającą wymagania postawione w PN-EN 12899-1[13].</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Konstrukcji bramownic należy wykonać wg projektu bramownicy. </w:t>
      </w:r>
    </w:p>
    <w:p w:rsidR="00E47B11" w:rsidRPr="00E47B11" w:rsidRDefault="00E47B11" w:rsidP="00E47B11">
      <w:pPr>
        <w:contextualSpacing/>
        <w:rPr>
          <w:sz w:val="24"/>
          <w:szCs w:val="24"/>
        </w:rPr>
      </w:pPr>
      <w:r w:rsidRPr="00E47B11">
        <w:rPr>
          <w:sz w:val="24"/>
          <w:szCs w:val="24"/>
        </w:rPr>
        <w:t>Konstrukcje wsporcze do znaków i tablic należy zaprojektować i wykonać w sposób gwarantujący stabilne i prawidłowe umieszczenie w pasie drogowym. W przypadku stosowania znaków drogowych na powierzchniach wysp kanalizujących ruch, wysp centralnych rond należy stosować konstrukcje umożlwiające ich szybki demontaż i ponowny montaż np. w przypadku przejazdu ponadnormatywnego. Sposób mocowania powinien spełniać funkcje : po zdemontowaniu konstrukcji wsporczej jej pozostała część powinna być zlicowana  z powierzchnia terenu, uszkodzenia mechaniczne znaku i konstrukcji wsporczej umieszczonej powyżej poziomu terenu (np. w wyniku kolizji drogowej) nie mogą powodować uszkodzenia konstrukcji umieszczonej poniżej poziomu terenu</w:t>
      </w:r>
    </w:p>
    <w:p w:rsidR="00E47B11" w:rsidRPr="00E47B11" w:rsidRDefault="00E47B11" w:rsidP="00E47B11">
      <w:pPr>
        <w:contextualSpacing/>
        <w:rPr>
          <w:sz w:val="24"/>
          <w:szCs w:val="24"/>
        </w:rPr>
      </w:pPr>
      <w:r w:rsidRPr="00E47B11">
        <w:rPr>
          <w:sz w:val="24"/>
          <w:szCs w:val="24"/>
        </w:rPr>
        <w:t>Zakres dokumentacji powinien obejmować opis techniczny, obliczenia statyczne uwzględniające strefy obciążenia wiatrem dla określonej kategorii terenu, inne obciążenia oraz rysunki techniczne konstrukcji wsporczych wraz z fundamentem.</w:t>
      </w:r>
    </w:p>
    <w:p w:rsidR="00E47B11" w:rsidRPr="00E47B11" w:rsidRDefault="00E47B11" w:rsidP="00E47B11">
      <w:pPr>
        <w:contextualSpacing/>
        <w:rPr>
          <w:sz w:val="24"/>
          <w:szCs w:val="24"/>
        </w:rPr>
      </w:pPr>
    </w:p>
    <w:p w:rsidR="00DC34C4" w:rsidRDefault="00E47B11" w:rsidP="00E47B11">
      <w:pPr>
        <w:contextualSpacing/>
        <w:rPr>
          <w:sz w:val="24"/>
          <w:szCs w:val="24"/>
        </w:rPr>
      </w:pPr>
      <w:r w:rsidRPr="00E47B11">
        <w:rPr>
          <w:sz w:val="24"/>
          <w:szCs w:val="24"/>
        </w:rPr>
        <w:t>Minimalny okres trwałości konstrukcji wsporczej powinien wynosić 10 lat.</w:t>
      </w:r>
    </w:p>
    <w:p w:rsidR="00CE5D6C" w:rsidRDefault="00CE5D6C" w:rsidP="00E47B11">
      <w:pPr>
        <w:contextualSpacing/>
        <w:rPr>
          <w:sz w:val="24"/>
          <w:szCs w:val="24"/>
        </w:rPr>
      </w:pPr>
    </w:p>
    <w:p w:rsidR="00CE5D6C" w:rsidRPr="006738E5" w:rsidRDefault="00CE5D6C" w:rsidP="00E47B11">
      <w:pPr>
        <w:contextualSpacing/>
        <w:rPr>
          <w:color w:val="00B0F0"/>
          <w:sz w:val="24"/>
          <w:szCs w:val="24"/>
        </w:rPr>
      </w:pPr>
    </w:p>
    <w:p w:rsidR="00DC34C4" w:rsidRPr="008A5DF5" w:rsidRDefault="00DC34C4"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lastRenderedPageBreak/>
        <w:t>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odpowiadać wymaganiom PN-H-74200:1998, [</w:t>
      </w:r>
      <w:r w:rsidR="004347D0" w:rsidRPr="008A5DF5">
        <w:rPr>
          <w:sz w:val="24"/>
          <w:szCs w:val="24"/>
        </w:rPr>
        <w:t>15</w:t>
      </w:r>
      <w:r w:rsidRPr="008A5DF5">
        <w:rPr>
          <w:sz w:val="24"/>
          <w:szCs w:val="24"/>
        </w:rPr>
        <w:t>], PN-84/H</w:t>
      </w:r>
      <w:r w:rsidRPr="008A5DF5">
        <w:rPr>
          <w:sz w:val="24"/>
          <w:szCs w:val="24"/>
        </w:rPr>
        <w:softHyphen/>
      </w:r>
      <w:r w:rsidR="00DA2365" w:rsidRPr="008A5DF5">
        <w:rPr>
          <w:sz w:val="24"/>
          <w:szCs w:val="24"/>
        </w:rPr>
        <w:t xml:space="preserve"> </w:t>
      </w:r>
      <w:r w:rsidRPr="008A5DF5">
        <w:rPr>
          <w:sz w:val="24"/>
          <w:szCs w:val="24"/>
        </w:rPr>
        <w:t>74220 [</w:t>
      </w:r>
      <w:r w:rsidR="004347D0" w:rsidRPr="008A5DF5">
        <w:rPr>
          <w:sz w:val="24"/>
          <w:szCs w:val="24"/>
        </w:rPr>
        <w:t>2</w:t>
      </w:r>
      <w:r w:rsidRPr="008A5DF5">
        <w:rPr>
          <w:sz w:val="24"/>
          <w:szCs w:val="24"/>
        </w:rPr>
        <w:t>] lub innej normy zaakceptowanej przez Inżyniera.</w:t>
      </w:r>
      <w:r w:rsidR="00DA2365" w:rsidRPr="008A5DF5">
        <w:rPr>
          <w:sz w:val="24"/>
          <w:szCs w:val="24"/>
        </w:rPr>
        <w:t xml:space="preserve"> </w:t>
      </w:r>
      <w:r w:rsidRPr="008A5DF5">
        <w:rPr>
          <w:sz w:val="24"/>
          <w:szCs w:val="24"/>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Końce rur powinny być obcięte równo i prostopadle do osi 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Pożądane jest, aby rury były dostarczane o długościach:</w:t>
      </w:r>
    </w:p>
    <w:p w:rsidR="007B1253" w:rsidRPr="008A5DF5" w:rsidRDefault="007B1253" w:rsidP="00744027">
      <w:pPr>
        <w:numPr>
          <w:ilvl w:val="0"/>
          <w:numId w:val="14"/>
        </w:numPr>
        <w:contextualSpacing/>
        <w:rPr>
          <w:sz w:val="24"/>
          <w:szCs w:val="24"/>
        </w:rPr>
      </w:pPr>
      <w:r w:rsidRPr="008A5DF5">
        <w:rPr>
          <w:sz w:val="24"/>
          <w:szCs w:val="24"/>
        </w:rPr>
        <w:t>dokładnych, zgodnych z zamówieniem; z dopuszczalną od</w:t>
      </w:r>
      <w:r w:rsidR="005B5C39" w:rsidRPr="008A5DF5">
        <w:rPr>
          <w:sz w:val="24"/>
          <w:szCs w:val="24"/>
        </w:rPr>
        <w:t>c</w:t>
      </w:r>
      <w:r w:rsidRPr="008A5DF5">
        <w:rPr>
          <w:sz w:val="24"/>
          <w:szCs w:val="24"/>
        </w:rPr>
        <w:t>hyłką:</w:t>
      </w:r>
      <w:r w:rsidR="005B5C39" w:rsidRPr="008A5DF5">
        <w:rPr>
          <w:sz w:val="24"/>
          <w:szCs w:val="24"/>
        </w:rPr>
        <w:t xml:space="preserve"> </w:t>
      </w:r>
      <w:r w:rsidRPr="008A5DF5">
        <w:rPr>
          <w:sz w:val="24"/>
          <w:szCs w:val="24"/>
        </w:rPr>
        <w:t>t</w:t>
      </w:r>
      <w:r w:rsidR="004347D0" w:rsidRPr="008A5DF5">
        <w:rPr>
          <w:sz w:val="24"/>
          <w:szCs w:val="24"/>
        </w:rPr>
        <w:t>&lt;</w:t>
      </w:r>
      <w:smartTag w:uri="urn:schemas-microsoft-com:office:smarttags" w:element="metricconverter">
        <w:smartTagPr>
          <w:attr w:name="ProductID" w:val="10 mm"/>
        </w:smartTagPr>
        <w:r w:rsidRPr="008A5DF5">
          <w:rPr>
            <w:sz w:val="24"/>
            <w:szCs w:val="24"/>
          </w:rPr>
          <w:t>10 mm</w:t>
        </w:r>
      </w:smartTag>
      <w:r w:rsidRPr="008A5DF5">
        <w:rPr>
          <w:sz w:val="24"/>
          <w:szCs w:val="24"/>
        </w:rPr>
        <w:t>,</w:t>
      </w:r>
    </w:p>
    <w:p w:rsidR="007B1253" w:rsidRPr="008A5DF5" w:rsidRDefault="007B1253" w:rsidP="00744027">
      <w:pPr>
        <w:numPr>
          <w:ilvl w:val="0"/>
          <w:numId w:val="14"/>
        </w:numPr>
        <w:contextualSpacing/>
        <w:rPr>
          <w:sz w:val="24"/>
          <w:szCs w:val="24"/>
        </w:rPr>
      </w:pPr>
      <w:r w:rsidRPr="008A5DF5">
        <w:rPr>
          <w:sz w:val="24"/>
          <w:szCs w:val="24"/>
        </w:rPr>
        <w:t xml:space="preserve">wielokrotnych w stosunku do zamówionych długości dokładnych poniżej </w:t>
      </w:r>
      <w:smartTag w:uri="urn:schemas-microsoft-com:office:smarttags" w:element="metricconverter">
        <w:smartTagPr>
          <w:attr w:name="ProductID" w:val="3 m"/>
        </w:smartTagPr>
        <w:r w:rsidRPr="008A5DF5">
          <w:rPr>
            <w:sz w:val="24"/>
            <w:szCs w:val="24"/>
          </w:rPr>
          <w:t>3 m</w:t>
        </w:r>
      </w:smartTag>
      <w:r w:rsidRPr="008A5DF5">
        <w:rPr>
          <w:sz w:val="24"/>
          <w:szCs w:val="24"/>
        </w:rPr>
        <w:t xml:space="preserve"> z</w:t>
      </w:r>
      <w:r w:rsidR="00DA2365" w:rsidRPr="008A5DF5">
        <w:rPr>
          <w:sz w:val="24"/>
          <w:szCs w:val="24"/>
        </w:rPr>
        <w:t xml:space="preserve"> </w:t>
      </w:r>
      <w:r w:rsidRPr="008A5DF5">
        <w:rPr>
          <w:sz w:val="24"/>
          <w:szCs w:val="24"/>
        </w:rPr>
        <w:t xml:space="preserve">naddatkiem </w:t>
      </w:r>
      <w:smartTag w:uri="urn:schemas-microsoft-com:office:smarttags" w:element="metricconverter">
        <w:smartTagPr>
          <w:attr w:name="ProductID" w:val="5 mm"/>
        </w:smartTagPr>
        <w:r w:rsidRPr="008A5DF5">
          <w:rPr>
            <w:sz w:val="24"/>
            <w:szCs w:val="24"/>
          </w:rPr>
          <w:t>5 mm</w:t>
        </w:r>
      </w:smartTag>
      <w:r w:rsidRPr="008A5DF5">
        <w:rPr>
          <w:sz w:val="24"/>
          <w:szCs w:val="24"/>
        </w:rPr>
        <w:t xml:space="preserve"> na każde cięcie i z dopuszczalną odchyłką dla całej długości wielokrotnej, jak dla długości dokładnych.</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być proste. Dopuszczalna miejscowa krzywizna nie powinna</w:t>
      </w:r>
      <w:r w:rsidR="00DA2365" w:rsidRPr="008A5DF5">
        <w:rPr>
          <w:sz w:val="24"/>
          <w:szCs w:val="24"/>
        </w:rPr>
        <w:t xml:space="preserve"> </w:t>
      </w:r>
      <w:r w:rsidRPr="008A5DF5">
        <w:rPr>
          <w:sz w:val="24"/>
          <w:szCs w:val="24"/>
        </w:rPr>
        <w:t xml:space="preserve">przekraczać </w:t>
      </w:r>
      <w:smartTag w:uri="urn:schemas-microsoft-com:office:smarttags" w:element="metricconverter">
        <w:smartTagPr>
          <w:attr w:name="ProductID" w:val="1,5 mm"/>
        </w:smartTagPr>
        <w:r w:rsidRPr="008A5DF5">
          <w:rPr>
            <w:sz w:val="24"/>
            <w:szCs w:val="24"/>
          </w:rPr>
          <w:t>1,5 mm</w:t>
        </w:r>
      </w:smartTag>
      <w:r w:rsidRPr="008A5DF5">
        <w:rPr>
          <w:sz w:val="24"/>
          <w:szCs w:val="24"/>
        </w:rPr>
        <w:t xml:space="preserve"> na l m długości rury.</w:t>
      </w:r>
      <w:r w:rsidR="00DA2365" w:rsidRPr="008A5DF5">
        <w:rPr>
          <w:sz w:val="24"/>
          <w:szCs w:val="24"/>
        </w:rPr>
        <w:t xml:space="preserve"> </w:t>
      </w:r>
      <w:r w:rsidRPr="008A5DF5">
        <w:rPr>
          <w:sz w:val="24"/>
          <w:szCs w:val="24"/>
        </w:rPr>
        <w:t>Rury powinny być wykonane ze stali w gatunkach dopuszczonych przez PN-H</w:t>
      </w:r>
      <w:r w:rsidR="004347D0" w:rsidRPr="008A5DF5">
        <w:rPr>
          <w:sz w:val="24"/>
          <w:szCs w:val="24"/>
        </w:rPr>
        <w:t xml:space="preserve"> </w:t>
      </w:r>
      <w:r w:rsidRPr="008A5DF5">
        <w:rPr>
          <w:sz w:val="24"/>
          <w:szCs w:val="24"/>
        </w:rPr>
        <w:softHyphen/>
        <w:t>84023</w:t>
      </w:r>
      <w:r w:rsidR="008A3A48" w:rsidRPr="008A5DF5">
        <w:rPr>
          <w:sz w:val="24"/>
          <w:szCs w:val="24"/>
        </w:rPr>
        <w:t>-</w:t>
      </w:r>
      <w:r w:rsidRPr="008A5DF5">
        <w:rPr>
          <w:sz w:val="24"/>
          <w:szCs w:val="24"/>
        </w:rPr>
        <w:t>07 [</w:t>
      </w:r>
      <w:r w:rsidR="004347D0" w:rsidRPr="008A5DF5">
        <w:rPr>
          <w:sz w:val="24"/>
          <w:szCs w:val="24"/>
        </w:rPr>
        <w:t>4</w:t>
      </w:r>
      <w:r w:rsidRPr="008A5DF5">
        <w:rPr>
          <w:sz w:val="24"/>
          <w:szCs w:val="24"/>
        </w:rPr>
        <w:t>], lub inne normy.</w:t>
      </w:r>
      <w:r w:rsidR="00DA2365" w:rsidRPr="008A5DF5">
        <w:rPr>
          <w:sz w:val="24"/>
          <w:szCs w:val="24"/>
        </w:rPr>
        <w:t xml:space="preserve"> </w:t>
      </w:r>
      <w:r w:rsidRPr="008A5DF5">
        <w:rPr>
          <w:sz w:val="24"/>
          <w:szCs w:val="24"/>
        </w:rPr>
        <w:t>Rury powinny być dostarczone bez opakowania w wiązkach lub luzem względnie w opakowaniu uzgodnionym z Zamawiającym. Rury powinny być cechowane</w:t>
      </w:r>
      <w:r w:rsidR="00DA2365" w:rsidRPr="008A5DF5">
        <w:rPr>
          <w:sz w:val="24"/>
          <w:szCs w:val="24"/>
        </w:rPr>
        <w:t xml:space="preserve"> </w:t>
      </w:r>
      <w:r w:rsidRPr="008A5DF5">
        <w:rPr>
          <w:sz w:val="24"/>
          <w:szCs w:val="24"/>
        </w:rPr>
        <w:t>indywidualnie lu</w:t>
      </w:r>
      <w:r w:rsidR="00DA2365" w:rsidRPr="008A5DF5">
        <w:rPr>
          <w:sz w:val="24"/>
          <w:szCs w:val="24"/>
        </w:rPr>
        <w:t>b na przywieszkach metalowych.</w:t>
      </w:r>
    </w:p>
    <w:p w:rsidR="00D21D91" w:rsidRPr="008A5DF5" w:rsidRDefault="00D21D91" w:rsidP="00744027">
      <w:pPr>
        <w:contextualSpacing/>
        <w:rPr>
          <w:sz w:val="24"/>
          <w:szCs w:val="24"/>
        </w:rPr>
      </w:pPr>
      <w:r w:rsidRPr="008A5DF5">
        <w:rPr>
          <w:sz w:val="24"/>
          <w:szCs w:val="24"/>
        </w:rPr>
        <w:t>Dolna część rury musi posiadać zakotwienie, góra zabezpieczona kapturkiem z tworzywa sztucznego lub metalowym. Słupki pod znaki konwencjonalne muszą być wykonane jako jednoczęściowe.</w:t>
      </w:r>
    </w:p>
    <w:p w:rsidR="008A3A48" w:rsidRPr="008A5DF5" w:rsidRDefault="008A3A48"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t>Kształtowniki</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w:t>
      </w:r>
      <w:r w:rsidR="008A3A48" w:rsidRPr="008A5DF5">
        <w:rPr>
          <w:sz w:val="24"/>
          <w:szCs w:val="24"/>
        </w:rPr>
        <w:t>i powinny odpowiadać wymaganiom PN-EN 10163-3</w:t>
      </w:r>
      <w:r w:rsidRPr="008A5DF5">
        <w:rPr>
          <w:sz w:val="24"/>
          <w:szCs w:val="24"/>
        </w:rPr>
        <w:t>[</w:t>
      </w:r>
      <w:r w:rsidR="008A3A48" w:rsidRPr="008A5DF5">
        <w:rPr>
          <w:sz w:val="24"/>
          <w:szCs w:val="24"/>
        </w:rPr>
        <w:t>17</w:t>
      </w:r>
      <w:r w:rsidRPr="008A5DF5">
        <w:rPr>
          <w:sz w:val="24"/>
          <w:szCs w:val="24"/>
        </w:rPr>
        <w:t>]. Powierzchnia kształtownika powinna być charakterystyczna dla procesu walcowania i</w:t>
      </w:r>
      <w:r w:rsidR="00DA2365" w:rsidRPr="008A5DF5">
        <w:rPr>
          <w:sz w:val="24"/>
          <w:szCs w:val="24"/>
        </w:rPr>
        <w:t xml:space="preserve"> </w:t>
      </w:r>
      <w:r w:rsidRPr="008A5DF5">
        <w:rPr>
          <w:sz w:val="24"/>
          <w:szCs w:val="24"/>
        </w:rPr>
        <w:t>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w:t>
      </w:r>
      <w:r w:rsidR="00DA2365" w:rsidRPr="008A5DF5">
        <w:rPr>
          <w:sz w:val="24"/>
          <w:szCs w:val="24"/>
        </w:rPr>
        <w:t>łt</w:t>
      </w:r>
      <w:r w:rsidRPr="008A5DF5">
        <w:rPr>
          <w:sz w:val="24"/>
          <w:szCs w:val="24"/>
        </w:rPr>
        <w:t>ownika.</w:t>
      </w:r>
    </w:p>
    <w:p w:rsidR="00DA2365" w:rsidRPr="008A5DF5" w:rsidRDefault="00DA2365" w:rsidP="00744027">
      <w:pPr>
        <w:contextualSpacing/>
        <w:rPr>
          <w:sz w:val="24"/>
          <w:szCs w:val="24"/>
        </w:rPr>
      </w:pPr>
    </w:p>
    <w:p w:rsidR="007B1253"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owniki powinny być obcięte prostopadle do osi wzdłużnej kształtownika. Powierzchnia końców kszta</w:t>
      </w:r>
      <w:r w:rsidR="00DA2365" w:rsidRPr="008A5DF5">
        <w:rPr>
          <w:sz w:val="24"/>
          <w:szCs w:val="24"/>
        </w:rPr>
        <w:t>łt</w:t>
      </w:r>
      <w:r w:rsidRPr="008A5DF5">
        <w:rPr>
          <w:sz w:val="24"/>
          <w:szCs w:val="24"/>
        </w:rPr>
        <w:t>ownika nie powinna wykazywać rzadzizn, rozwarstwień, pęknięć i śladów jamy skurczowej widocznych nie uzbrojonym okiem.</w:t>
      </w:r>
      <w:r w:rsidR="00DA2365" w:rsidRPr="008A5DF5">
        <w:rPr>
          <w:sz w:val="24"/>
          <w:szCs w:val="24"/>
        </w:rPr>
        <w:t xml:space="preserve"> </w:t>
      </w:r>
    </w:p>
    <w:p w:rsidR="00A46E2B" w:rsidRDefault="00A46E2B" w:rsidP="00744027">
      <w:pPr>
        <w:contextualSpacing/>
        <w:rPr>
          <w:sz w:val="24"/>
          <w:szCs w:val="24"/>
        </w:rPr>
      </w:pPr>
    </w:p>
    <w:p w:rsidR="00A46E2B" w:rsidRDefault="00A46E2B" w:rsidP="00744027">
      <w:pPr>
        <w:contextualSpacing/>
        <w:rPr>
          <w:sz w:val="24"/>
          <w:szCs w:val="24"/>
        </w:rPr>
      </w:pPr>
    </w:p>
    <w:p w:rsidR="00A46E2B" w:rsidRDefault="00A46E2B" w:rsidP="00744027">
      <w:pPr>
        <w:contextualSpacing/>
        <w:rPr>
          <w:sz w:val="24"/>
          <w:szCs w:val="24"/>
        </w:rPr>
      </w:pPr>
    </w:p>
    <w:p w:rsidR="00CE5D6C" w:rsidRPr="008A5DF5" w:rsidRDefault="00CE5D6C" w:rsidP="00744027">
      <w:pPr>
        <w:contextualSpacing/>
        <w:rPr>
          <w:sz w:val="24"/>
          <w:szCs w:val="24"/>
        </w:rPr>
      </w:pPr>
    </w:p>
    <w:p w:rsidR="00DA2365" w:rsidRPr="008A5DF5" w:rsidRDefault="00DA2365"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lastRenderedPageBreak/>
        <w:t>Powłoki metalizacyjne cynkowe</w:t>
      </w:r>
    </w:p>
    <w:p w:rsidR="00DA2365" w:rsidRPr="008A5DF5" w:rsidRDefault="00DA2365" w:rsidP="00744027">
      <w:pPr>
        <w:contextualSpacing/>
        <w:rPr>
          <w:sz w:val="24"/>
          <w:szCs w:val="24"/>
        </w:rPr>
      </w:pPr>
    </w:p>
    <w:p w:rsidR="007B1253" w:rsidRPr="008A5DF5" w:rsidRDefault="00465088" w:rsidP="00744027">
      <w:pPr>
        <w:contextualSpacing/>
        <w:rPr>
          <w:sz w:val="24"/>
          <w:szCs w:val="24"/>
        </w:rPr>
      </w:pPr>
      <w:r w:rsidRPr="008A5DF5">
        <w:rPr>
          <w:sz w:val="24"/>
          <w:szCs w:val="24"/>
        </w:rPr>
        <w:t>P</w:t>
      </w:r>
      <w:r w:rsidR="007B1253" w:rsidRPr="008A5DF5">
        <w:rPr>
          <w:sz w:val="24"/>
          <w:szCs w:val="24"/>
        </w:rPr>
        <w:t>owłok</w:t>
      </w:r>
      <w:r w:rsidRPr="008A5DF5">
        <w:rPr>
          <w:sz w:val="24"/>
          <w:szCs w:val="24"/>
        </w:rPr>
        <w:t>a</w:t>
      </w:r>
      <w:r w:rsidR="007B1253" w:rsidRPr="008A5DF5">
        <w:rPr>
          <w:sz w:val="24"/>
          <w:szCs w:val="24"/>
        </w:rPr>
        <w:t xml:space="preserve"> metalizacyjn</w:t>
      </w:r>
      <w:r w:rsidRPr="008A5DF5">
        <w:rPr>
          <w:sz w:val="24"/>
          <w:szCs w:val="24"/>
        </w:rPr>
        <w:t>a</w:t>
      </w:r>
      <w:r w:rsidR="007B1253" w:rsidRPr="008A5DF5">
        <w:rPr>
          <w:sz w:val="24"/>
          <w:szCs w:val="24"/>
        </w:rPr>
        <w:t xml:space="preserve"> cynkow</w:t>
      </w:r>
      <w:r w:rsidRPr="008A5DF5">
        <w:rPr>
          <w:sz w:val="24"/>
          <w:szCs w:val="24"/>
        </w:rPr>
        <w:t>a</w:t>
      </w:r>
      <w:r w:rsidR="007B1253" w:rsidRPr="008A5DF5">
        <w:rPr>
          <w:sz w:val="24"/>
          <w:szCs w:val="24"/>
        </w:rPr>
        <w:t xml:space="preserve"> na konstrukcjach stalowych, powinna spełniać wymagania PN EN ISO 1461:2000 [</w:t>
      </w:r>
      <w:r w:rsidR="008A3A48" w:rsidRPr="008A5DF5">
        <w:rPr>
          <w:sz w:val="24"/>
          <w:szCs w:val="24"/>
        </w:rPr>
        <w:t>9</w:t>
      </w:r>
      <w:r w:rsidR="007B1253" w:rsidRPr="008A5DF5">
        <w:rPr>
          <w:sz w:val="24"/>
          <w:szCs w:val="24"/>
        </w:rPr>
        <w:t>] i PN-EN 10240:2001 [</w:t>
      </w:r>
      <w:r w:rsidR="008A3A48" w:rsidRPr="008A5DF5">
        <w:rPr>
          <w:sz w:val="24"/>
          <w:szCs w:val="24"/>
        </w:rPr>
        <w:t>10</w:t>
      </w:r>
      <w:r w:rsidR="007B1253" w:rsidRPr="008A5DF5">
        <w:rPr>
          <w:sz w:val="24"/>
          <w:szCs w:val="24"/>
        </w:rPr>
        <w:t xml:space="preserve">]. Minimalna grubość powłoki cynkowej powinna wynosić 60 </w:t>
      </w:r>
      <w:r w:rsidR="009D275B" w:rsidRPr="008A5DF5">
        <w:rPr>
          <w:sz w:val="24"/>
          <w:szCs w:val="24"/>
        </w:rPr>
        <w:t>μm</w:t>
      </w:r>
      <w:r w:rsidR="007B1253" w:rsidRPr="008A5DF5">
        <w:rPr>
          <w:sz w:val="24"/>
          <w:szCs w:val="24"/>
        </w:rPr>
        <w:t>.</w:t>
      </w:r>
      <w:r w:rsidR="006272D3" w:rsidRPr="008A5DF5">
        <w:rPr>
          <w:sz w:val="24"/>
          <w:szCs w:val="24"/>
        </w:rPr>
        <w:t xml:space="preserve"> </w:t>
      </w:r>
      <w:r w:rsidR="007B1253" w:rsidRPr="008A5DF5">
        <w:rPr>
          <w:sz w:val="24"/>
          <w:szCs w:val="24"/>
        </w:rPr>
        <w:t>Powierzchnia powłoki powinna być ciągła i jednorodna pod względem ziarnistości. Nie może ona wykazywać widocznych wad jak rysy, pęknięcia, pęcherze lub odstawanie powłoki od podłoża.</w:t>
      </w:r>
    </w:p>
    <w:p w:rsidR="007B1253" w:rsidRPr="00744027" w:rsidRDefault="007B1253" w:rsidP="00744027">
      <w:pPr>
        <w:contextualSpacing/>
        <w:rPr>
          <w:sz w:val="24"/>
          <w:szCs w:val="24"/>
        </w:rPr>
      </w:pPr>
    </w:p>
    <w:p w:rsidR="007B1253" w:rsidRPr="00744027" w:rsidRDefault="007B1253" w:rsidP="00226D00">
      <w:pPr>
        <w:pStyle w:val="Akapitzlist"/>
        <w:numPr>
          <w:ilvl w:val="1"/>
          <w:numId w:val="35"/>
        </w:numPr>
        <w:tabs>
          <w:tab w:val="left" w:pos="450"/>
        </w:tabs>
        <w:ind w:left="0" w:firstLine="0"/>
        <w:rPr>
          <w:b/>
          <w:sz w:val="24"/>
          <w:szCs w:val="24"/>
        </w:rPr>
      </w:pPr>
      <w:r w:rsidRPr="00744027">
        <w:rPr>
          <w:b/>
          <w:sz w:val="24"/>
          <w:szCs w:val="24"/>
        </w:rPr>
        <w:t>Tarcza znaku</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Trwałość materiałów na wpływy zewnętrzne</w:t>
      </w:r>
    </w:p>
    <w:p w:rsidR="006272D3" w:rsidRPr="00A12089" w:rsidRDefault="006272D3" w:rsidP="00744027">
      <w:pPr>
        <w:contextualSpacing/>
        <w:rPr>
          <w:sz w:val="24"/>
          <w:szCs w:val="24"/>
        </w:rPr>
      </w:pPr>
    </w:p>
    <w:p w:rsidR="007B1253" w:rsidRPr="00A12089" w:rsidRDefault="007B1253" w:rsidP="00744027">
      <w:pPr>
        <w:contextualSpacing/>
        <w:rPr>
          <w:sz w:val="24"/>
          <w:szCs w:val="24"/>
        </w:rPr>
      </w:pPr>
      <w:r w:rsidRPr="00A12089">
        <w:rPr>
          <w:sz w:val="24"/>
          <w:szCs w:val="24"/>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w:t>
      </w:r>
      <w:r w:rsidR="006272D3" w:rsidRPr="00A12089">
        <w:rPr>
          <w:sz w:val="24"/>
          <w:szCs w:val="24"/>
        </w:rPr>
        <w:t>chemiczne</w:t>
      </w:r>
      <w:r w:rsidRPr="00A12089">
        <w:rPr>
          <w:sz w:val="24"/>
          <w:szCs w:val="24"/>
        </w:rPr>
        <w:t xml:space="preserve"> (w tym korozję elektrochemiczną) - przez cały czas trwałości znaku, określony przez wytwórcę lub dostawcę.</w:t>
      </w:r>
    </w:p>
    <w:p w:rsidR="00C06D60" w:rsidRPr="00A12089" w:rsidRDefault="00C06D60" w:rsidP="00744027">
      <w:pPr>
        <w:contextualSpacing/>
        <w:rPr>
          <w:b/>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Materiały do wykonania tarczy znaku</w:t>
      </w:r>
    </w:p>
    <w:p w:rsidR="00A12089" w:rsidRPr="00A12089" w:rsidRDefault="00A12089" w:rsidP="00A12089">
      <w:pPr>
        <w:pStyle w:val="Akapitzlist"/>
        <w:ind w:left="0"/>
        <w:rPr>
          <w:b/>
          <w:sz w:val="24"/>
          <w:szCs w:val="24"/>
        </w:rPr>
      </w:pPr>
    </w:p>
    <w:p w:rsidR="00A12089" w:rsidRPr="00A12089" w:rsidRDefault="00A12089" w:rsidP="00A12089">
      <w:pPr>
        <w:contextualSpacing/>
        <w:rPr>
          <w:sz w:val="24"/>
          <w:szCs w:val="24"/>
        </w:rPr>
      </w:pPr>
      <w:r w:rsidRPr="00A12089">
        <w:rPr>
          <w:sz w:val="24"/>
          <w:szCs w:val="24"/>
        </w:rPr>
        <w:t>Tarcza znaku i tablicy powinna spełniać następujące wymagania:</w:t>
      </w:r>
    </w:p>
    <w:p w:rsidR="00A12089" w:rsidRPr="00A12089" w:rsidRDefault="00A12089" w:rsidP="00A12089">
      <w:pPr>
        <w:contextualSpacing/>
        <w:rPr>
          <w:sz w:val="24"/>
          <w:szCs w:val="24"/>
        </w:rPr>
      </w:pPr>
      <w:r w:rsidRPr="00A12089">
        <w:rPr>
          <w:sz w:val="24"/>
          <w:szCs w:val="24"/>
        </w:rPr>
        <w:t>- tarcze znaku należy wykonać z blachy o grubości min. 1,5 mm. W przypadku znaków wielkopowierzchniowych typu E dopuszcza się stosowanie technologii zamiennych (np. warstwowych), które posiadają certyfikat zgodności z normą PN-12899 pod warunkiem umiejscowienia tych znaków w lokalizacjach, które nie będą narażone bezpośrednio na czynniki związane z wandalizmem (np. w ciągu głównym drogi ekspresowej.</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Warunki wykonania tarczy znaku</w:t>
      </w:r>
    </w:p>
    <w:p w:rsidR="007B1253" w:rsidRPr="00A12089" w:rsidRDefault="007B1253" w:rsidP="00744027">
      <w:pPr>
        <w:contextualSpacing/>
        <w:rPr>
          <w:sz w:val="24"/>
          <w:szCs w:val="24"/>
        </w:rPr>
      </w:pPr>
    </w:p>
    <w:p w:rsidR="007B1253" w:rsidRPr="00A12089" w:rsidRDefault="007B1253" w:rsidP="00744027">
      <w:pPr>
        <w:contextualSpacing/>
        <w:rPr>
          <w:sz w:val="24"/>
          <w:szCs w:val="24"/>
        </w:rPr>
      </w:pPr>
      <w:r w:rsidRPr="00A12089">
        <w:rPr>
          <w:sz w:val="24"/>
          <w:szCs w:val="24"/>
        </w:rPr>
        <w:t>Tarcze znaków powinny spełniać także następujące wymagania:</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blachy powinny być usztywnione na całym obwodzie,</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płyty o konstrukcji  warstwowej powinny być zabezpieczone na całym obwodzie profilem metalowym  lub z tworzywa sztucznego,</w:t>
      </w:r>
    </w:p>
    <w:p w:rsidR="00A12089" w:rsidRPr="00A12089" w:rsidRDefault="00A12089" w:rsidP="00A12089">
      <w:pPr>
        <w:pStyle w:val="Akapitzlist"/>
        <w:numPr>
          <w:ilvl w:val="0"/>
          <w:numId w:val="41"/>
        </w:numPr>
        <w:ind w:left="709"/>
        <w:rPr>
          <w:sz w:val="24"/>
          <w:szCs w:val="24"/>
        </w:rPr>
      </w:pPr>
      <w:r w:rsidRPr="00A12089">
        <w:rPr>
          <w:sz w:val="24"/>
          <w:szCs w:val="24"/>
        </w:rPr>
        <w:t>powierzchnia czołowa tarczy znaku powinna być równa - bez wgięć, pofałdowań i otworów montażowych; dopuszczalna nierówność punktowa nie powinna przekraczać  1 mm,</w:t>
      </w:r>
    </w:p>
    <w:p w:rsidR="00A12089" w:rsidRPr="00A12089" w:rsidRDefault="00A12089" w:rsidP="00A12089">
      <w:pPr>
        <w:pStyle w:val="Akapitzlist"/>
        <w:numPr>
          <w:ilvl w:val="0"/>
          <w:numId w:val="41"/>
        </w:numPr>
        <w:ind w:left="709"/>
        <w:rPr>
          <w:sz w:val="24"/>
          <w:szCs w:val="24"/>
        </w:rPr>
      </w:pPr>
      <w:r w:rsidRPr="00A12089">
        <w:rPr>
          <w:sz w:val="24"/>
          <w:szCs w:val="24"/>
        </w:rPr>
        <w:t>odpowiednia sztywność tarczy znaku z płyty warstwowej powinna być uzyskana dzięki właściwościom płyty warstwowej, a mocowanie jej do konstrukcji wsporczej należy zapewnić poprzez zamontowane  profile montażowe,</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z blachy powinna być zabezpieczona przed procesami korozji </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o konstrukcji warstwowej powinna być zabezpieczona  ochronną, powłoką lakierniczą,  </w:t>
      </w:r>
    </w:p>
    <w:p w:rsidR="00A12089" w:rsidRPr="00A12089" w:rsidRDefault="00A12089" w:rsidP="00A12089">
      <w:pPr>
        <w:pStyle w:val="Akapitzlist"/>
        <w:numPr>
          <w:ilvl w:val="0"/>
          <w:numId w:val="41"/>
        </w:numPr>
        <w:ind w:left="709"/>
        <w:rPr>
          <w:sz w:val="24"/>
          <w:szCs w:val="24"/>
        </w:rPr>
      </w:pPr>
      <w:r w:rsidRPr="00A12089">
        <w:rPr>
          <w:sz w:val="24"/>
          <w:szCs w:val="24"/>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rsidR="00A12089" w:rsidRPr="00A12089" w:rsidRDefault="00A12089" w:rsidP="00A12089">
      <w:pPr>
        <w:pStyle w:val="Akapitzlist"/>
        <w:numPr>
          <w:ilvl w:val="0"/>
          <w:numId w:val="41"/>
        </w:numPr>
        <w:ind w:left="709"/>
        <w:rPr>
          <w:sz w:val="24"/>
          <w:szCs w:val="24"/>
        </w:rPr>
      </w:pPr>
      <w:r w:rsidRPr="00A12089">
        <w:rPr>
          <w:sz w:val="24"/>
          <w:szCs w:val="24"/>
        </w:rPr>
        <w:lastRenderedPageBreak/>
        <w:t xml:space="preserve">łączenie poszczególnych segmentów tarczy (dla znaków wielkogabarytowych) wzdłuż poziomej lub pionowej krawędzi powinno być wykonane w taki sposób, aby nie występowały przesunięcia i prześwity w miejscach ich łączenia, </w:t>
      </w:r>
    </w:p>
    <w:p w:rsidR="008F43E1" w:rsidRPr="00744027" w:rsidRDefault="008F43E1" w:rsidP="008F43E1">
      <w:pPr>
        <w:ind w:left="720"/>
        <w:contextualSpacing/>
        <w:rPr>
          <w:sz w:val="24"/>
          <w:szCs w:val="24"/>
        </w:rPr>
      </w:pPr>
    </w:p>
    <w:p w:rsidR="007B1253" w:rsidRPr="00E3486E" w:rsidRDefault="007B1253" w:rsidP="008F43E1">
      <w:pPr>
        <w:pStyle w:val="Akapitzlist"/>
        <w:numPr>
          <w:ilvl w:val="2"/>
          <w:numId w:val="35"/>
        </w:numPr>
        <w:ind w:left="0" w:firstLine="0"/>
        <w:rPr>
          <w:b/>
          <w:sz w:val="24"/>
          <w:szCs w:val="24"/>
        </w:rPr>
      </w:pPr>
      <w:r w:rsidRPr="00E3486E">
        <w:rPr>
          <w:b/>
          <w:sz w:val="24"/>
          <w:szCs w:val="24"/>
        </w:rPr>
        <w:t>Wymagania dotyczące powierzchni odblaskowej</w:t>
      </w:r>
      <w:r w:rsidR="00C303C6" w:rsidRPr="00E3486E">
        <w:rPr>
          <w:b/>
          <w:sz w:val="24"/>
          <w:szCs w:val="24"/>
        </w:rPr>
        <w:t xml:space="preserve"> lica znaku</w:t>
      </w:r>
    </w:p>
    <w:p w:rsidR="006272D3" w:rsidRPr="00E3486E" w:rsidRDefault="006272D3" w:rsidP="00744027">
      <w:pPr>
        <w:contextualSpacing/>
        <w:rPr>
          <w:sz w:val="24"/>
          <w:szCs w:val="24"/>
        </w:rPr>
      </w:pPr>
    </w:p>
    <w:p w:rsidR="00C303C6" w:rsidRDefault="00C303C6" w:rsidP="00744027">
      <w:pPr>
        <w:contextualSpacing/>
        <w:rPr>
          <w:sz w:val="24"/>
          <w:szCs w:val="24"/>
        </w:rPr>
      </w:pPr>
      <w:r w:rsidRPr="00E3486E">
        <w:rPr>
          <w:sz w:val="24"/>
          <w:szCs w:val="24"/>
        </w:rPr>
        <w:t>Folia odblaskowa (odbijająca powrotnie)  użyta na lico znaku powinna spełniać wymagania określone   w normie EN 12899-1 [13] lub ETA i w załączniku nr 1 do rozporządzenia Ministra Infrastruktury z dnia 3 lipca 2003 r. [19]</w:t>
      </w:r>
      <w:r w:rsidR="00A33F54">
        <w:rPr>
          <w:sz w:val="24"/>
          <w:szCs w:val="24"/>
        </w:rPr>
        <w:t>.</w:t>
      </w:r>
    </w:p>
    <w:p w:rsidR="00142AD3" w:rsidRDefault="00142AD3" w:rsidP="00744027">
      <w:pPr>
        <w:contextualSpacing/>
        <w:rPr>
          <w:sz w:val="24"/>
          <w:szCs w:val="24"/>
        </w:rPr>
      </w:pPr>
    </w:p>
    <w:p w:rsidR="00142AD3" w:rsidRPr="00142AD3" w:rsidRDefault="00142AD3" w:rsidP="00142AD3">
      <w:pPr>
        <w:contextualSpacing/>
        <w:rPr>
          <w:sz w:val="24"/>
          <w:szCs w:val="24"/>
        </w:rPr>
      </w:pPr>
      <w:r w:rsidRPr="00142AD3">
        <w:rPr>
          <w:sz w:val="24"/>
          <w:szCs w:val="24"/>
        </w:rPr>
        <w:t>Parametry lic znaków:</w:t>
      </w:r>
    </w:p>
    <w:p w:rsidR="00142AD3" w:rsidRPr="00142AD3" w:rsidRDefault="00142AD3" w:rsidP="00142AD3">
      <w:pPr>
        <w:contextualSpacing/>
        <w:rPr>
          <w:sz w:val="24"/>
          <w:szCs w:val="24"/>
        </w:rPr>
      </w:pPr>
      <w:r w:rsidRPr="00142AD3">
        <w:rPr>
          <w:sz w:val="24"/>
          <w:szCs w:val="24"/>
        </w:rPr>
        <w:t>- lica znaków drogowych usytuowanych na drodze ekspresowej obok jezdni należy</w:t>
      </w:r>
    </w:p>
    <w:p w:rsidR="00142AD3" w:rsidRPr="00142AD3" w:rsidRDefault="00142AD3" w:rsidP="00142AD3">
      <w:pPr>
        <w:contextualSpacing/>
        <w:rPr>
          <w:sz w:val="24"/>
          <w:szCs w:val="24"/>
        </w:rPr>
      </w:pPr>
      <w:r w:rsidRPr="00142AD3">
        <w:rPr>
          <w:sz w:val="24"/>
          <w:szCs w:val="24"/>
        </w:rPr>
        <w:t>wykonać z folii odblaskowej typu 3;</w:t>
      </w:r>
    </w:p>
    <w:p w:rsidR="00142AD3" w:rsidRPr="00142AD3" w:rsidRDefault="00142AD3" w:rsidP="00142AD3">
      <w:pPr>
        <w:contextualSpacing/>
        <w:rPr>
          <w:sz w:val="24"/>
          <w:szCs w:val="24"/>
        </w:rPr>
      </w:pPr>
      <w:r w:rsidRPr="00142AD3">
        <w:rPr>
          <w:sz w:val="24"/>
          <w:szCs w:val="24"/>
        </w:rPr>
        <w:t>- lica znaków drogowych usytuowanych na drodze ekspresowej nad jezdnią</w:t>
      </w:r>
    </w:p>
    <w:p w:rsidR="00142AD3" w:rsidRPr="00142AD3" w:rsidRDefault="00142AD3" w:rsidP="00142AD3">
      <w:pPr>
        <w:contextualSpacing/>
        <w:rPr>
          <w:sz w:val="24"/>
          <w:szCs w:val="24"/>
        </w:rPr>
      </w:pPr>
      <w:r w:rsidRPr="00142AD3">
        <w:rPr>
          <w:sz w:val="24"/>
          <w:szCs w:val="24"/>
        </w:rPr>
        <w:t>na konstrukcjach wsporczych należy wykonać z folii odblaskowej pryzmatycznej;</w:t>
      </w:r>
    </w:p>
    <w:p w:rsidR="00142AD3" w:rsidRPr="00142AD3" w:rsidRDefault="00142AD3" w:rsidP="00142AD3">
      <w:pPr>
        <w:contextualSpacing/>
        <w:rPr>
          <w:sz w:val="24"/>
          <w:szCs w:val="24"/>
        </w:rPr>
      </w:pPr>
      <w:r w:rsidRPr="00142AD3">
        <w:rPr>
          <w:sz w:val="24"/>
          <w:szCs w:val="24"/>
        </w:rPr>
        <w:t>- znaki pionowe jezdni głównej drogi ekspresowej - grupa duża (D), za wyjątkiem</w:t>
      </w:r>
    </w:p>
    <w:p w:rsidR="00142AD3" w:rsidRPr="00142AD3" w:rsidRDefault="00142AD3" w:rsidP="00142AD3">
      <w:pPr>
        <w:contextualSpacing/>
        <w:rPr>
          <w:sz w:val="24"/>
          <w:szCs w:val="24"/>
        </w:rPr>
      </w:pPr>
      <w:r w:rsidRPr="00142AD3">
        <w:rPr>
          <w:sz w:val="24"/>
          <w:szCs w:val="24"/>
        </w:rPr>
        <w:t>oznakowania doświadczalnego (eksperymentalnego), którego wymiary określono</w:t>
      </w:r>
    </w:p>
    <w:p w:rsidR="00142AD3" w:rsidRPr="00142AD3" w:rsidRDefault="00142AD3" w:rsidP="00142AD3">
      <w:pPr>
        <w:contextualSpacing/>
        <w:rPr>
          <w:sz w:val="24"/>
          <w:szCs w:val="24"/>
        </w:rPr>
      </w:pPr>
      <w:r w:rsidRPr="00142AD3">
        <w:rPr>
          <w:sz w:val="24"/>
          <w:szCs w:val="24"/>
        </w:rPr>
        <w:t>w oddzielnym załączniku do PFU;</w:t>
      </w:r>
    </w:p>
    <w:p w:rsidR="00142AD3" w:rsidRPr="00142AD3" w:rsidRDefault="00142AD3" w:rsidP="00142AD3">
      <w:pPr>
        <w:contextualSpacing/>
        <w:rPr>
          <w:sz w:val="24"/>
          <w:szCs w:val="24"/>
        </w:rPr>
      </w:pPr>
      <w:r w:rsidRPr="00142AD3">
        <w:rPr>
          <w:sz w:val="24"/>
          <w:szCs w:val="24"/>
        </w:rPr>
        <w:t>- znaki pionowe na łącznicach - grupa średnia (S);</w:t>
      </w:r>
    </w:p>
    <w:p w:rsidR="00142AD3" w:rsidRPr="00142AD3" w:rsidRDefault="00142AD3" w:rsidP="00142AD3">
      <w:pPr>
        <w:contextualSpacing/>
        <w:rPr>
          <w:sz w:val="24"/>
          <w:szCs w:val="24"/>
        </w:rPr>
      </w:pPr>
      <w:r w:rsidRPr="00142AD3">
        <w:rPr>
          <w:sz w:val="24"/>
          <w:szCs w:val="24"/>
        </w:rPr>
        <w:t>- na jednojezdniowych drogach krajowych - grupa średnia (S) - należy wykonać</w:t>
      </w:r>
    </w:p>
    <w:p w:rsidR="00142AD3" w:rsidRPr="00142AD3" w:rsidRDefault="00142AD3" w:rsidP="00142AD3">
      <w:pPr>
        <w:contextualSpacing/>
        <w:rPr>
          <w:sz w:val="24"/>
          <w:szCs w:val="24"/>
        </w:rPr>
      </w:pPr>
      <w:r w:rsidRPr="00142AD3">
        <w:rPr>
          <w:sz w:val="24"/>
          <w:szCs w:val="24"/>
        </w:rPr>
        <w:t>z folii odblaskowej typu 2;</w:t>
      </w:r>
    </w:p>
    <w:p w:rsidR="00142AD3" w:rsidRPr="00142AD3" w:rsidRDefault="00142AD3" w:rsidP="00142AD3">
      <w:pPr>
        <w:contextualSpacing/>
        <w:rPr>
          <w:sz w:val="24"/>
          <w:szCs w:val="24"/>
        </w:rPr>
      </w:pPr>
      <w:r w:rsidRPr="00142AD3">
        <w:rPr>
          <w:sz w:val="24"/>
          <w:szCs w:val="24"/>
        </w:rPr>
        <w:t>- wojewódzkich i powiatowych: znaki - grupa średnia (S) - należy wykonać z folii</w:t>
      </w:r>
    </w:p>
    <w:p w:rsidR="00142AD3" w:rsidRPr="00142AD3" w:rsidRDefault="00142AD3" w:rsidP="00142AD3">
      <w:pPr>
        <w:contextualSpacing/>
        <w:rPr>
          <w:sz w:val="24"/>
          <w:szCs w:val="24"/>
        </w:rPr>
      </w:pPr>
      <w:r w:rsidRPr="00142AD3">
        <w:rPr>
          <w:sz w:val="24"/>
          <w:szCs w:val="24"/>
        </w:rPr>
        <w:t>odblaskowej uzgodnionej z właściwym zarządcą drogi;</w:t>
      </w:r>
    </w:p>
    <w:p w:rsidR="00142AD3" w:rsidRPr="00142AD3" w:rsidRDefault="00142AD3" w:rsidP="00142AD3">
      <w:pPr>
        <w:contextualSpacing/>
        <w:rPr>
          <w:sz w:val="24"/>
          <w:szCs w:val="24"/>
        </w:rPr>
      </w:pPr>
      <w:r w:rsidRPr="00142AD3">
        <w:rPr>
          <w:sz w:val="24"/>
          <w:szCs w:val="24"/>
        </w:rPr>
        <w:t>- na drogach gminnych: znaki - grupa mała (M) - należy wykonać z folii odblaskowej</w:t>
      </w:r>
    </w:p>
    <w:p w:rsidR="00142AD3" w:rsidRPr="00142AD3" w:rsidRDefault="00142AD3" w:rsidP="00142AD3">
      <w:pPr>
        <w:contextualSpacing/>
        <w:rPr>
          <w:sz w:val="24"/>
          <w:szCs w:val="24"/>
        </w:rPr>
      </w:pPr>
      <w:r w:rsidRPr="00142AD3">
        <w:rPr>
          <w:sz w:val="24"/>
          <w:szCs w:val="24"/>
        </w:rPr>
        <w:t>typu 1,</w:t>
      </w:r>
    </w:p>
    <w:p w:rsidR="00781BDE" w:rsidRPr="00A46E2B" w:rsidRDefault="00142AD3" w:rsidP="00744027">
      <w:pPr>
        <w:contextualSpacing/>
        <w:rPr>
          <w:sz w:val="24"/>
          <w:szCs w:val="24"/>
        </w:rPr>
      </w:pPr>
      <w:r w:rsidRPr="00142AD3">
        <w:rPr>
          <w:sz w:val="24"/>
          <w:szCs w:val="24"/>
        </w:rPr>
        <w:t xml:space="preserve">- wszystkie znaki pionowe będą posiadały folię </w:t>
      </w:r>
      <w:proofErr w:type="spellStart"/>
      <w:r w:rsidRPr="00142AD3">
        <w:rPr>
          <w:sz w:val="24"/>
          <w:szCs w:val="24"/>
        </w:rPr>
        <w:t>antyroszeniową</w:t>
      </w:r>
      <w:proofErr w:type="spellEnd"/>
      <w:r w:rsidRPr="00142AD3">
        <w:rPr>
          <w:sz w:val="24"/>
          <w:szCs w:val="24"/>
        </w:rPr>
        <w:t>.</w:t>
      </w:r>
    </w:p>
    <w:p w:rsidR="00F80E88" w:rsidRPr="006738E5" w:rsidRDefault="00F80E88" w:rsidP="00744027">
      <w:pPr>
        <w:contextualSpacing/>
        <w:rPr>
          <w:b/>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Wymagania jakościowe</w:t>
      </w:r>
    </w:p>
    <w:p w:rsidR="007B1253" w:rsidRPr="00A47C41" w:rsidRDefault="007B1253" w:rsidP="00744027">
      <w:pPr>
        <w:contextualSpacing/>
        <w:rPr>
          <w:sz w:val="24"/>
          <w:szCs w:val="24"/>
        </w:rPr>
      </w:pPr>
    </w:p>
    <w:p w:rsidR="00E3486E" w:rsidRPr="00A47C41" w:rsidRDefault="00E3486E" w:rsidP="00E3486E">
      <w:pPr>
        <w:pStyle w:val="Akapitzlist"/>
        <w:ind w:left="504"/>
        <w:rPr>
          <w:sz w:val="24"/>
          <w:szCs w:val="24"/>
        </w:rPr>
      </w:pPr>
      <w:r w:rsidRPr="00A47C41">
        <w:rPr>
          <w:sz w:val="24"/>
          <w:szCs w:val="24"/>
        </w:rPr>
        <w:t>Powierzchnia lica znaku powinna być równa, gładka, bez rozwarstwień, pęcherzy i odklejeń na krawędziach. Na powierzchni mogą występować w obrębie jednego pola  np. 40x40 mm średnio nie więcej niż 0,7 błędów na powierzchni ( pęcherze) o wielkości najwyżej 1 mm. Rysy nie mają prawa wystąpić.</w:t>
      </w:r>
    </w:p>
    <w:p w:rsidR="00E3486E" w:rsidRPr="00A47C41" w:rsidRDefault="00E3486E" w:rsidP="00E3486E">
      <w:pPr>
        <w:pStyle w:val="Akapitzlist"/>
        <w:ind w:left="504"/>
        <w:rPr>
          <w:sz w:val="24"/>
          <w:szCs w:val="24"/>
        </w:rPr>
      </w:pPr>
      <w:r w:rsidRPr="00A47C41">
        <w:rPr>
          <w:sz w:val="24"/>
          <w:szCs w:val="24"/>
        </w:rPr>
        <w:t>Sposób połączenia folii z powierzchnią tarczy znaku powinien uniemożliwiać jej odłączenie od tarczy bez jej zniszczenia.</w:t>
      </w:r>
    </w:p>
    <w:p w:rsidR="00E3486E" w:rsidRPr="00A47C41" w:rsidRDefault="00E3486E" w:rsidP="00E3486E">
      <w:pPr>
        <w:pStyle w:val="Akapitzlist"/>
        <w:ind w:left="504"/>
        <w:rPr>
          <w:sz w:val="24"/>
          <w:szCs w:val="24"/>
        </w:rPr>
      </w:pPr>
      <w:r w:rsidRPr="00A47C41">
        <w:rPr>
          <w:sz w:val="24"/>
          <w:szCs w:val="24"/>
        </w:rPr>
        <w:t xml:space="preserve">Dokładność rysunku znaku powinna być taka, aby wady konturów znaku, które mogą powstać przy nanoszeniu farby na odblaskową powierzchnię znaku, nie były większe niż podane w p. </w:t>
      </w:r>
      <w:r w:rsidRPr="00B14157">
        <w:rPr>
          <w:sz w:val="24"/>
          <w:szCs w:val="24"/>
        </w:rPr>
        <w:t>2.</w:t>
      </w:r>
      <w:r w:rsidR="00B14157" w:rsidRPr="00B14157">
        <w:rPr>
          <w:sz w:val="24"/>
          <w:szCs w:val="24"/>
        </w:rPr>
        <w:t>5.</w:t>
      </w:r>
      <w:r w:rsidRPr="00B14157">
        <w:rPr>
          <w:sz w:val="24"/>
          <w:szCs w:val="24"/>
        </w:rPr>
        <w:t>6.</w:t>
      </w:r>
      <w:r w:rsidR="00B14157" w:rsidRPr="00B14157">
        <w:rPr>
          <w:sz w:val="24"/>
          <w:szCs w:val="24"/>
        </w:rPr>
        <w:t>2</w:t>
      </w:r>
      <w:r w:rsidRPr="00B14157">
        <w:rPr>
          <w:sz w:val="24"/>
          <w:szCs w:val="24"/>
        </w:rPr>
        <w:t>.</w:t>
      </w:r>
    </w:p>
    <w:p w:rsidR="00E3486E" w:rsidRPr="00A47C41" w:rsidRDefault="00E3486E" w:rsidP="00E3486E">
      <w:pPr>
        <w:pStyle w:val="Akapitzlist"/>
        <w:ind w:left="504"/>
        <w:rPr>
          <w:sz w:val="24"/>
          <w:szCs w:val="24"/>
        </w:rPr>
      </w:pPr>
      <w:r w:rsidRPr="00A47C41">
        <w:rPr>
          <w:sz w:val="24"/>
          <w:szCs w:val="24"/>
        </w:rPr>
        <w:t>Lica znaków wykonane drukiem sitowym lub cyfrowym powinny być wolne od smug i cieni.</w:t>
      </w:r>
    </w:p>
    <w:p w:rsidR="00E3486E" w:rsidRPr="00A47C41" w:rsidRDefault="00E3486E" w:rsidP="00E3486E">
      <w:pPr>
        <w:pStyle w:val="Akapitzlist"/>
        <w:ind w:left="504"/>
        <w:rPr>
          <w:sz w:val="24"/>
          <w:szCs w:val="24"/>
        </w:rPr>
      </w:pPr>
      <w:r w:rsidRPr="00A47C41">
        <w:rPr>
          <w:sz w:val="24"/>
          <w:szCs w:val="24"/>
        </w:rPr>
        <w:t>Sprawdzenie polega na ocenie wizualnej.</w:t>
      </w:r>
    </w:p>
    <w:p w:rsidR="00E3486E" w:rsidRPr="00A47C41" w:rsidRDefault="00E3486E" w:rsidP="00E3486E">
      <w:pPr>
        <w:pStyle w:val="Akapitzlist"/>
        <w:ind w:left="504"/>
        <w:rPr>
          <w:sz w:val="24"/>
          <w:szCs w:val="24"/>
        </w:rPr>
      </w:pPr>
    </w:p>
    <w:p w:rsidR="00E3486E" w:rsidRPr="00A47C41" w:rsidRDefault="00E3486E" w:rsidP="00E3486E">
      <w:pPr>
        <w:pStyle w:val="Akapitzlist"/>
        <w:numPr>
          <w:ilvl w:val="2"/>
          <w:numId w:val="35"/>
        </w:numPr>
        <w:rPr>
          <w:b/>
          <w:sz w:val="24"/>
          <w:szCs w:val="24"/>
        </w:rPr>
      </w:pPr>
      <w:r w:rsidRPr="00A47C41">
        <w:rPr>
          <w:b/>
          <w:sz w:val="24"/>
          <w:szCs w:val="24"/>
        </w:rPr>
        <w:t xml:space="preserve">Tolerancje wymiarowe znaków drogowych </w:t>
      </w:r>
    </w:p>
    <w:p w:rsidR="007B1253" w:rsidRPr="00A47C41" w:rsidRDefault="007B1253"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tarcz znaków</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Sprawdzenie przymiarem liniowym:</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lastRenderedPageBreak/>
        <w:t>wymiary dla tarcz znaków o powierzchni &lt; 1m2 podane w opisach szczeg6lowych załącznika nr l [</w:t>
      </w:r>
      <w:r w:rsidR="005078EB" w:rsidRPr="00A47C41">
        <w:rPr>
          <w:sz w:val="24"/>
          <w:szCs w:val="24"/>
        </w:rPr>
        <w:t>19</w:t>
      </w:r>
      <w:r w:rsidRPr="00A47C41">
        <w:rPr>
          <w:sz w:val="24"/>
          <w:szCs w:val="24"/>
        </w:rPr>
        <w:t xml:space="preserve">] są należy powiększyć o </w:t>
      </w:r>
      <w:smartTag w:uri="urn:schemas-microsoft-com:office:smarttags" w:element="metricconverter">
        <w:smartTagPr>
          <w:attr w:name="ProductID" w:val="10 mm"/>
        </w:smartTagPr>
        <w:r w:rsidRPr="00A47C41">
          <w:rPr>
            <w:sz w:val="24"/>
            <w:szCs w:val="24"/>
          </w:rPr>
          <w:t>10 mm</w:t>
        </w:r>
      </w:smartTag>
      <w:r w:rsidRPr="00A47C41">
        <w:rPr>
          <w:sz w:val="24"/>
          <w:szCs w:val="24"/>
        </w:rPr>
        <w:t xml:space="preserve"> i wy</w:t>
      </w:r>
      <w:r w:rsidR="0054675A" w:rsidRPr="00A47C41">
        <w:rPr>
          <w:sz w:val="24"/>
          <w:szCs w:val="24"/>
        </w:rPr>
        <w:t>konać w tolerancji wymiarowej ±</w:t>
      </w:r>
      <w:r w:rsidRPr="00A47C41">
        <w:rPr>
          <w:sz w:val="24"/>
          <w:szCs w:val="24"/>
        </w:rPr>
        <w:t xml:space="preserve"> </w:t>
      </w:r>
      <w:smartTag w:uri="urn:schemas-microsoft-com:office:smarttags" w:element="metricconverter">
        <w:smartTagPr>
          <w:attr w:name="ProductID" w:val="5 mm"/>
        </w:smartTagPr>
        <w:r w:rsidRPr="00A47C41">
          <w:rPr>
            <w:sz w:val="24"/>
            <w:szCs w:val="24"/>
          </w:rPr>
          <w:t>5 mm</w:t>
        </w:r>
      </w:smartTag>
      <w:r w:rsidRPr="00A47C41">
        <w:rPr>
          <w:sz w:val="24"/>
          <w:szCs w:val="24"/>
        </w:rPr>
        <w:t>,</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wymiary dla tarcz znaków i tablic o powierzchni&gt; 1m2 podane w opisach szczeg6lowych załącznika nr l [</w:t>
      </w:r>
      <w:r w:rsidR="005078EB" w:rsidRPr="00A47C41">
        <w:rPr>
          <w:sz w:val="24"/>
          <w:szCs w:val="24"/>
        </w:rPr>
        <w:t>19</w:t>
      </w:r>
      <w:r w:rsidRPr="00A47C41">
        <w:rPr>
          <w:sz w:val="24"/>
          <w:szCs w:val="24"/>
        </w:rPr>
        <w:t xml:space="preserve">] oraz wymiary wynikowe dla tablic grupy E należy powiększyć o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i wykonać w tolerancji wymiarowej </w:t>
      </w:r>
      <w:r w:rsidR="0054675A" w:rsidRPr="00A47C41">
        <w:rPr>
          <w:sz w:val="24"/>
          <w:szCs w:val="24"/>
        </w:rPr>
        <w:t xml:space="preserve">± </w:t>
      </w:r>
      <w:smartTag w:uri="urn:schemas-microsoft-com:office:smarttags" w:element="metricconverter">
        <w:smartTagPr>
          <w:attr w:name="ProductID" w:val="10 mm"/>
        </w:smartTagPr>
        <w:r w:rsidRPr="00A47C41">
          <w:rPr>
            <w:sz w:val="24"/>
            <w:szCs w:val="24"/>
          </w:rPr>
          <w:t>10 mm</w:t>
        </w:r>
      </w:smartTag>
      <w:r w:rsidR="0054675A" w:rsidRPr="00A47C41">
        <w:rPr>
          <w:sz w:val="24"/>
          <w:szCs w:val="24"/>
        </w:rPr>
        <w:t>.</w:t>
      </w:r>
    </w:p>
    <w:p w:rsidR="00F80E88" w:rsidRPr="00A47C41" w:rsidRDefault="00F80E88"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lica znaku</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Sprawdzone przymiarem liniowym:</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tolerancje wymiarowe rysunku lica wyko</w:t>
      </w:r>
      <w:r w:rsidR="0054675A" w:rsidRPr="00A47C41">
        <w:rPr>
          <w:sz w:val="24"/>
          <w:szCs w:val="24"/>
        </w:rPr>
        <w:t>nanego drukiem sitowym wynoszą ±</w:t>
      </w:r>
      <w:r w:rsidRPr="00A47C41">
        <w:rPr>
          <w:sz w:val="24"/>
          <w:szCs w:val="24"/>
        </w:rPr>
        <w:t xml:space="preserve">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 xml:space="preserve">tolerancje wymiarowe rysunku lica wykonanego metodą wyklejania wynoszą </w:t>
      </w:r>
      <w:r w:rsidR="0054675A" w:rsidRPr="00A47C41">
        <w:rPr>
          <w:sz w:val="24"/>
          <w:szCs w:val="24"/>
        </w:rPr>
        <w:t>±</w:t>
      </w:r>
      <w:r w:rsidRPr="00A47C41">
        <w:rPr>
          <w:sz w:val="24"/>
          <w:szCs w:val="24"/>
        </w:rPr>
        <w:t xml:space="preserve"> </w:t>
      </w:r>
      <w:smartTag w:uri="urn:schemas-microsoft-com:office:smarttags" w:element="metricconverter">
        <w:smartTagPr>
          <w:attr w:name="ProductID" w:val="2 mm"/>
        </w:smartTagPr>
        <w:r w:rsidRPr="00A47C41">
          <w:rPr>
            <w:sz w:val="24"/>
            <w:szCs w:val="24"/>
          </w:rPr>
          <w:t>2 mm</w:t>
        </w:r>
      </w:smartTag>
      <w:r w:rsidRPr="00A47C41">
        <w:rPr>
          <w:sz w:val="24"/>
          <w:szCs w:val="24"/>
        </w:rPr>
        <w:t xml:space="preserve">, </w:t>
      </w:r>
    </w:p>
    <w:p w:rsidR="007B1253" w:rsidRPr="00A47C41" w:rsidRDefault="007B1253" w:rsidP="00744027">
      <w:pPr>
        <w:contextualSpacing/>
        <w:rPr>
          <w:sz w:val="24"/>
          <w:szCs w:val="24"/>
        </w:rPr>
      </w:pPr>
    </w:p>
    <w:p w:rsidR="007B1253" w:rsidRPr="00A47C41" w:rsidRDefault="007B1253" w:rsidP="00744027">
      <w:pPr>
        <w:contextualSpacing/>
        <w:rPr>
          <w:sz w:val="24"/>
          <w:szCs w:val="24"/>
        </w:rPr>
      </w:pPr>
      <w:r w:rsidRPr="00A47C41">
        <w:rPr>
          <w:sz w:val="24"/>
          <w:szCs w:val="24"/>
        </w:rPr>
        <w:t xml:space="preserve">Na znakach w okresie gwarancji, na każdym z fragmentów powierzchni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xml:space="preserve"> dopuszcza się do 2 usterek jak wyżej, o wymiarach nie większych niż </w:t>
      </w:r>
      <w:smartTag w:uri="urn:schemas-microsoft-com:office:smarttags" w:element="metricconverter">
        <w:smartTagPr>
          <w:attr w:name="ProductID" w:val="1 mm"/>
        </w:smartTagPr>
        <w:r w:rsidRPr="00A47C41">
          <w:rPr>
            <w:sz w:val="24"/>
            <w:szCs w:val="24"/>
          </w:rPr>
          <w:t>1 mm</w:t>
        </w:r>
      </w:smartTag>
      <w:r w:rsidRPr="00A47C41">
        <w:rPr>
          <w:sz w:val="24"/>
          <w:szCs w:val="24"/>
        </w:rPr>
        <w:t xml:space="preserve"> w każdym kierunku. Na powierzchni tej dopuszcza się do 3 zarysowań o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całkowitej długości nie większej niż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Na całkowitej długości znaku dopuszcza się nie więcej niż 5 rys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długości przekraczającej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 pod warunkiem, że zarysowania te nie zniekształcają treści znaku.</w:t>
      </w:r>
    </w:p>
    <w:p w:rsidR="00D72359" w:rsidRPr="00A47C41" w:rsidRDefault="00D72359" w:rsidP="00744027">
      <w:pPr>
        <w:contextualSpacing/>
        <w:rPr>
          <w:sz w:val="24"/>
          <w:szCs w:val="24"/>
        </w:rPr>
      </w:pPr>
    </w:p>
    <w:p w:rsidR="007B1253" w:rsidRPr="00A47C41" w:rsidRDefault="007B1253" w:rsidP="00744027">
      <w:pPr>
        <w:contextualSpacing/>
        <w:rPr>
          <w:sz w:val="24"/>
          <w:szCs w:val="24"/>
        </w:rPr>
      </w:pPr>
      <w:r w:rsidRPr="00A47C41">
        <w:rPr>
          <w:sz w:val="24"/>
          <w:szCs w:val="24"/>
        </w:rPr>
        <w:t>Na znakach w okresie gwarancji dopuszcza się również lokalne uszkodzenie folii o powierzchni nie przekraczającej 6 mm</w:t>
      </w:r>
      <w:r w:rsidRPr="00A47C41">
        <w:rPr>
          <w:sz w:val="24"/>
          <w:szCs w:val="24"/>
          <w:vertAlign w:val="superscript"/>
        </w:rPr>
        <w:t>2</w:t>
      </w:r>
      <w:r w:rsidRPr="00A47C41">
        <w:rPr>
          <w:sz w:val="24"/>
          <w:szCs w:val="24"/>
        </w:rPr>
        <w:t xml:space="preserve"> każde - w liczbie nie większej niż pięć na powierzchni znaku małego lub średniego, oraz o powierzchni nie przekraczającej 8 mm</w:t>
      </w:r>
      <w:r w:rsidRPr="00A47C41">
        <w:rPr>
          <w:sz w:val="24"/>
          <w:szCs w:val="24"/>
          <w:vertAlign w:val="superscript"/>
        </w:rPr>
        <w:t>2</w:t>
      </w:r>
      <w:r w:rsidRPr="00A47C41">
        <w:rPr>
          <w:sz w:val="24"/>
          <w:szCs w:val="24"/>
        </w:rP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rsidRPr="00A47C41">
          <w:rPr>
            <w:sz w:val="24"/>
            <w:szCs w:val="24"/>
          </w:rPr>
          <w:t>1200 mm</w:t>
        </w:r>
      </w:smartTag>
      <w:r w:rsidRPr="00A47C41">
        <w:rPr>
          <w:sz w:val="24"/>
          <w:szCs w:val="24"/>
        </w:rPr>
        <w:t>.</w:t>
      </w:r>
      <w:r w:rsidR="0054675A" w:rsidRPr="00A47C41">
        <w:rPr>
          <w:sz w:val="24"/>
          <w:szCs w:val="24"/>
        </w:rPr>
        <w:t xml:space="preserve"> </w:t>
      </w:r>
      <w:r w:rsidRPr="00A47C41">
        <w:rPr>
          <w:sz w:val="24"/>
          <w:szCs w:val="24"/>
        </w:rPr>
        <w:t>Uszkodzenia folii nie mogą zniekształcać treści znaku - w przypadku występowania takiego zniekształcenia znak musi być bezzwłocznie wymieniony.</w:t>
      </w:r>
      <w:r w:rsidR="0054675A" w:rsidRPr="00A47C41">
        <w:rPr>
          <w:sz w:val="24"/>
          <w:szCs w:val="24"/>
        </w:rPr>
        <w:t xml:space="preserve"> </w:t>
      </w:r>
    </w:p>
    <w:p w:rsidR="001C4921" w:rsidRPr="00A47C41" w:rsidRDefault="007B1253" w:rsidP="00744027">
      <w:pPr>
        <w:contextualSpacing/>
        <w:rPr>
          <w:sz w:val="24"/>
          <w:szCs w:val="24"/>
        </w:rPr>
      </w:pPr>
      <w:r w:rsidRPr="00A47C41">
        <w:rPr>
          <w:sz w:val="24"/>
          <w:szCs w:val="24"/>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r w:rsidR="0054675A" w:rsidRPr="00A47C41">
        <w:rPr>
          <w:sz w:val="24"/>
          <w:szCs w:val="24"/>
        </w:rPr>
        <w:t xml:space="preserve"> </w:t>
      </w:r>
    </w:p>
    <w:p w:rsidR="00A47C41" w:rsidRPr="00A47C41" w:rsidRDefault="00A47C41" w:rsidP="00744027">
      <w:pPr>
        <w:contextualSpacing/>
        <w:rPr>
          <w:sz w:val="24"/>
          <w:szCs w:val="24"/>
        </w:rPr>
      </w:pPr>
    </w:p>
    <w:p w:rsidR="001C4921" w:rsidRPr="00A47C41" w:rsidRDefault="007B1253" w:rsidP="00744027">
      <w:pPr>
        <w:contextualSpacing/>
        <w:rPr>
          <w:sz w:val="24"/>
          <w:szCs w:val="24"/>
        </w:rPr>
      </w:pPr>
      <w:r w:rsidRPr="00A47C41">
        <w:rPr>
          <w:sz w:val="24"/>
          <w:szCs w:val="24"/>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A47C41">
          <w:rPr>
            <w:sz w:val="24"/>
            <w:szCs w:val="24"/>
          </w:rPr>
          <w:t>2,0 mm</w:t>
        </w:r>
      </w:smartTag>
      <w:r w:rsidRPr="00A47C41">
        <w:rPr>
          <w:sz w:val="24"/>
          <w:szCs w:val="24"/>
        </w:rPr>
        <w:t xml:space="preserve"> w każdym kierunku na powierzchni każdego z fragmentów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W znakach nowych oraz w znakach znajdujących się w okresie wymaganej gwarancji żadna korozja tarczy znaku nie może występować.</w:t>
      </w:r>
    </w:p>
    <w:p w:rsidR="007B1253" w:rsidRPr="006738E5" w:rsidRDefault="007B1253" w:rsidP="00744027">
      <w:pPr>
        <w:contextualSpacing/>
        <w:rPr>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Obowiązujący system oceny zgodności</w:t>
      </w:r>
    </w:p>
    <w:p w:rsidR="0054675A" w:rsidRPr="00A47C41" w:rsidRDefault="0054675A" w:rsidP="00744027">
      <w:pPr>
        <w:contextualSpacing/>
        <w:rPr>
          <w:sz w:val="24"/>
          <w:szCs w:val="24"/>
        </w:rPr>
      </w:pPr>
    </w:p>
    <w:p w:rsidR="007B1253" w:rsidRDefault="007B1253" w:rsidP="00744027">
      <w:pPr>
        <w:contextualSpacing/>
        <w:rPr>
          <w:sz w:val="24"/>
          <w:szCs w:val="24"/>
        </w:rPr>
      </w:pPr>
      <w:r w:rsidRPr="00A47C41">
        <w:rPr>
          <w:sz w:val="24"/>
          <w:szCs w:val="24"/>
        </w:rPr>
        <w:t>Zgodnie z art. 4, art. 5 ust 1 oraz art. 8, ust I ustawy z dnia 16 kwietnia 20</w:t>
      </w:r>
      <w:r w:rsidR="00807EEA" w:rsidRPr="00A47C41">
        <w:rPr>
          <w:sz w:val="24"/>
          <w:szCs w:val="24"/>
        </w:rPr>
        <w:t xml:space="preserve">04 </w:t>
      </w:r>
      <w:r w:rsidRPr="00A47C41">
        <w:rPr>
          <w:sz w:val="24"/>
          <w:szCs w:val="24"/>
        </w:rPr>
        <w:t>r. o wyrobach budowlanych [</w:t>
      </w:r>
      <w:r w:rsidR="002025CB" w:rsidRPr="00A47C41">
        <w:rPr>
          <w:sz w:val="24"/>
          <w:szCs w:val="24"/>
        </w:rPr>
        <w:t>21</w:t>
      </w:r>
      <w:r w:rsidRPr="00A47C41">
        <w:rPr>
          <w:sz w:val="24"/>
          <w:szCs w:val="24"/>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w:t>
      </w:r>
      <w:r w:rsidR="00A46E2B">
        <w:rPr>
          <w:sz w:val="24"/>
          <w:szCs w:val="24"/>
        </w:rPr>
        <w:t>pisami</w:t>
      </w:r>
    </w:p>
    <w:p w:rsidR="00A46E2B" w:rsidRDefault="00A46E2B" w:rsidP="00744027">
      <w:pPr>
        <w:contextualSpacing/>
        <w:rPr>
          <w:sz w:val="24"/>
          <w:szCs w:val="24"/>
        </w:rPr>
      </w:pPr>
    </w:p>
    <w:p w:rsidR="00A46E2B" w:rsidRPr="00A47C41" w:rsidRDefault="00A46E2B" w:rsidP="00744027">
      <w:pPr>
        <w:contextualSpacing/>
        <w:rPr>
          <w:sz w:val="24"/>
          <w:szCs w:val="24"/>
        </w:rPr>
      </w:pPr>
    </w:p>
    <w:p w:rsidR="00D21D91" w:rsidRDefault="00D21D91" w:rsidP="00744027">
      <w:pPr>
        <w:contextualSpacing/>
        <w:rPr>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lastRenderedPageBreak/>
        <w:t>Znaki podświetlane</w:t>
      </w:r>
    </w:p>
    <w:p w:rsidR="00A47C41" w:rsidRDefault="00A47C41" w:rsidP="00A47C41">
      <w:pPr>
        <w:pStyle w:val="Akapitzlist"/>
        <w:tabs>
          <w:tab w:val="left" w:pos="450"/>
        </w:tabs>
        <w:ind w:left="360"/>
        <w:rPr>
          <w:b/>
          <w:sz w:val="24"/>
          <w:szCs w:val="24"/>
        </w:rPr>
      </w:pPr>
    </w:p>
    <w:p w:rsidR="00A47C41" w:rsidRDefault="00A47C41" w:rsidP="00A47C41">
      <w:pPr>
        <w:contextualSpacing/>
      </w:pPr>
      <w:r w:rsidRPr="00A47C41">
        <w:rPr>
          <w:sz w:val="24"/>
          <w:szCs w:val="24"/>
        </w:rPr>
        <w:t>2.6.</w:t>
      </w:r>
      <w:r>
        <w:rPr>
          <w:sz w:val="24"/>
          <w:szCs w:val="24"/>
        </w:rPr>
        <w:t>1</w:t>
      </w:r>
      <w:r w:rsidRPr="00A47C41">
        <w:rPr>
          <w:sz w:val="24"/>
          <w:szCs w:val="24"/>
        </w:rPr>
        <w:t xml:space="preserve"> </w:t>
      </w:r>
      <w:r>
        <w:t>Wymagania ogólne dotyczące znaków podświetlanych</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 xml:space="preserve">Znaki drogowe podświetlane wykonuje się jako urządzenia, których integralnym składnikiem jest oprawa oświetleniowa wbudowana w znak - osłonięta licem znaku z materiału przepuszczającego światło. </w:t>
      </w:r>
    </w:p>
    <w:p w:rsidR="00A47C41" w:rsidRPr="00A47C41" w:rsidRDefault="00A47C41" w:rsidP="00A123E2">
      <w:pPr>
        <w:ind w:firstLine="709"/>
        <w:contextualSpacing/>
        <w:rPr>
          <w:sz w:val="24"/>
          <w:szCs w:val="24"/>
        </w:rPr>
      </w:pPr>
      <w:r w:rsidRPr="00A47C41">
        <w:rPr>
          <w:sz w:val="24"/>
          <w:szCs w:val="24"/>
        </w:rPr>
        <w:t xml:space="preserve">Znaki drogowe podświetlane mogą być wykonywane z użyciem płyt z tworzyw sztucznych przewodzących światło w swym przekroju, w które wbudowuje się diody podświetlające płyty w sposób zapewniający równomierne podświetlenie lica. Sterownik znaku jest integralną jego </w:t>
      </w:r>
      <w:r w:rsidR="00B14157" w:rsidRPr="00A47C41">
        <w:rPr>
          <w:sz w:val="24"/>
          <w:szCs w:val="24"/>
        </w:rPr>
        <w:t>częścią</w:t>
      </w:r>
      <w:r w:rsidRPr="00A47C41">
        <w:rPr>
          <w:sz w:val="24"/>
          <w:szCs w:val="24"/>
        </w:rPr>
        <w:t>.</w:t>
      </w:r>
      <w:r w:rsidR="00A123E2">
        <w:rPr>
          <w:sz w:val="24"/>
          <w:szCs w:val="24"/>
        </w:rPr>
        <w:t xml:space="preserve"> </w:t>
      </w:r>
      <w:r w:rsidRPr="00A47C41">
        <w:rPr>
          <w:sz w:val="24"/>
          <w:szCs w:val="24"/>
        </w:rPr>
        <w:t>Oprawy oświetleniowe, jeżeli mają zastosowanie, powinny b</w:t>
      </w:r>
      <w:r w:rsidR="004D2730">
        <w:rPr>
          <w:sz w:val="24"/>
          <w:szCs w:val="24"/>
        </w:rPr>
        <w:t>yć zgodne z normą PN-EN 60598-2.</w:t>
      </w:r>
    </w:p>
    <w:p w:rsidR="00A47C41" w:rsidRDefault="00A47C41" w:rsidP="00A47C41">
      <w:pPr>
        <w:contextualSpacing/>
        <w:rPr>
          <w:sz w:val="24"/>
          <w:szCs w:val="24"/>
        </w:rPr>
      </w:pPr>
    </w:p>
    <w:p w:rsidR="00A47C41" w:rsidRPr="00A47C41" w:rsidRDefault="00A47C41" w:rsidP="00A47C41">
      <w:pPr>
        <w:contextualSpacing/>
        <w:rPr>
          <w:sz w:val="24"/>
          <w:szCs w:val="24"/>
        </w:rPr>
      </w:pPr>
      <w:r w:rsidRPr="00A47C41">
        <w:rPr>
          <w:sz w:val="24"/>
          <w:szCs w:val="24"/>
        </w:rPr>
        <w:t>2.6.2. Lico znaku podświetlanego</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Lico znaku powinno być tak wykonane, aby nie występowały niedokładności w postaci pęcherzy, pęknięć itp. Niedopuszczalne są lokalne nierówności oraz cząstki mechaniczne zatopione w warstwie podświetlanej.</w:t>
      </w:r>
    </w:p>
    <w:p w:rsidR="00A47C41" w:rsidRDefault="00A47C41" w:rsidP="00A47C41">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oświetlane</w:t>
      </w:r>
    </w:p>
    <w:p w:rsidR="004D2730" w:rsidRDefault="004D2730" w:rsidP="004D2730">
      <w:pPr>
        <w:pStyle w:val="Akapitzlist"/>
        <w:tabs>
          <w:tab w:val="left" w:pos="450"/>
        </w:tabs>
        <w:ind w:left="360"/>
        <w:rPr>
          <w:b/>
          <w:sz w:val="24"/>
          <w:szCs w:val="24"/>
        </w:rPr>
      </w:pPr>
    </w:p>
    <w:p w:rsidR="004D2730" w:rsidRDefault="004D2730" w:rsidP="004D2730">
      <w:pPr>
        <w:contextualSpacing/>
        <w:rPr>
          <w:sz w:val="24"/>
          <w:szCs w:val="24"/>
        </w:rPr>
      </w:pPr>
      <w:r w:rsidRPr="004D2730">
        <w:rPr>
          <w:sz w:val="24"/>
          <w:szCs w:val="24"/>
        </w:rPr>
        <w:t>2.7.1</w:t>
      </w:r>
      <w:r>
        <w:rPr>
          <w:sz w:val="24"/>
          <w:szCs w:val="24"/>
        </w:rPr>
        <w:t xml:space="preserve"> </w:t>
      </w:r>
      <w:r w:rsidRPr="004D2730">
        <w:rPr>
          <w:sz w:val="24"/>
          <w:szCs w:val="24"/>
        </w:rPr>
        <w:t>Wymagania ogólne dotyczące znaków oświetlanych</w:t>
      </w:r>
    </w:p>
    <w:p w:rsidR="00A123E2" w:rsidRDefault="00A123E2" w:rsidP="004D2730">
      <w:pPr>
        <w:contextualSpacing/>
        <w:rPr>
          <w:sz w:val="24"/>
          <w:szCs w:val="24"/>
        </w:rPr>
      </w:pPr>
    </w:p>
    <w:p w:rsidR="004D2730" w:rsidRPr="004D2730" w:rsidRDefault="004D2730" w:rsidP="00A123E2">
      <w:pPr>
        <w:ind w:firstLine="709"/>
        <w:contextualSpacing/>
        <w:rPr>
          <w:sz w:val="24"/>
          <w:szCs w:val="24"/>
        </w:rPr>
      </w:pPr>
      <w:r w:rsidRPr="004D2730">
        <w:rPr>
          <w:sz w:val="24"/>
          <w:szCs w:val="24"/>
        </w:rPr>
        <w:t xml:space="preserve">Znaki drogowe oświetlane wykonuje się jak znaki odblaskowe. </w:t>
      </w:r>
    </w:p>
    <w:p w:rsidR="004D2730" w:rsidRPr="004D2730" w:rsidRDefault="004D2730" w:rsidP="004D2730">
      <w:pPr>
        <w:contextualSpacing/>
        <w:rPr>
          <w:sz w:val="24"/>
          <w:szCs w:val="24"/>
        </w:rPr>
      </w:pPr>
      <w:r w:rsidRPr="004D2730">
        <w:rPr>
          <w:sz w:val="24"/>
          <w:szCs w:val="24"/>
        </w:rPr>
        <w:t>Oprawa umieszczona jest na zewnątrz znaku oświetlając w nocy lico znaku.</w:t>
      </w:r>
    </w:p>
    <w:p w:rsidR="004D2730" w:rsidRDefault="004D2730" w:rsidP="004D2730">
      <w:pPr>
        <w:pStyle w:val="Akapitzlist"/>
        <w:tabs>
          <w:tab w:val="left" w:pos="450"/>
        </w:tabs>
        <w:ind w:left="360"/>
        <w:rPr>
          <w:b/>
          <w:sz w:val="24"/>
          <w:szCs w:val="24"/>
        </w:rPr>
      </w:pPr>
    </w:p>
    <w:p w:rsidR="00781BDE" w:rsidRDefault="00781BDE" w:rsidP="004D2730">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aktywne</w:t>
      </w:r>
    </w:p>
    <w:p w:rsidR="00544D87" w:rsidRDefault="00544D87" w:rsidP="00544D87">
      <w:pPr>
        <w:pStyle w:val="Akapitzlist"/>
        <w:tabs>
          <w:tab w:val="left" w:pos="450"/>
        </w:tabs>
        <w:ind w:left="0"/>
        <w:rPr>
          <w:b/>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.1.</w:t>
      </w:r>
      <w:r w:rsidRPr="00B14157">
        <w:rPr>
          <w:sz w:val="24"/>
          <w:szCs w:val="24"/>
        </w:rPr>
        <w:tab/>
        <w:t>Wymagania ogólne dotyczące znaków aktywnych</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Znak drogowy aktywny składa się z lica, tarczy  z umieszczonymi pulsującymi źródłami światła oraz układu elektrycznego sterującego znakiem.</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.2.</w:t>
      </w:r>
      <w:r w:rsidRPr="00B14157">
        <w:rPr>
          <w:sz w:val="24"/>
          <w:szCs w:val="24"/>
        </w:rPr>
        <w:tab/>
        <w:t xml:space="preserve">Tarcza znaku aktywnego </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Tarcza znaku aktywnego wykonana jest w formie zamkniętej kasety o określonej pyłoszczelności i bryzgoszczelności.</w:t>
      </w:r>
    </w:p>
    <w:p w:rsidR="00544D87" w:rsidRPr="00B14157" w:rsidRDefault="00544D87" w:rsidP="00B14157">
      <w:pPr>
        <w:tabs>
          <w:tab w:val="left" w:pos="450"/>
        </w:tabs>
        <w:jc w:val="left"/>
        <w:rPr>
          <w:sz w:val="24"/>
          <w:szCs w:val="24"/>
        </w:rPr>
      </w:pPr>
      <w:r w:rsidRPr="00B14157">
        <w:rPr>
          <w:sz w:val="24"/>
          <w:szCs w:val="24"/>
        </w:rPr>
        <w:t xml:space="preserve">Kaseta znaku aktywnego powinna zapewniać układom elektrycznym znajdującym się w jej wnętrzu pierwszą ochronę przed czynnikami środowiska zewnętrznego. Wewnątrz kasety znaku znajduje się matryca ze źródłami światła o określonych parametrach świetlnych. </w:t>
      </w:r>
    </w:p>
    <w:p w:rsidR="00544D87" w:rsidRPr="00B14157" w:rsidRDefault="00544D87" w:rsidP="00B14157">
      <w:pPr>
        <w:tabs>
          <w:tab w:val="left" w:pos="450"/>
        </w:tabs>
        <w:jc w:val="left"/>
        <w:rPr>
          <w:sz w:val="24"/>
          <w:szCs w:val="24"/>
        </w:rPr>
      </w:pPr>
      <w:r w:rsidRPr="00B14157">
        <w:rPr>
          <w:sz w:val="24"/>
          <w:szCs w:val="24"/>
        </w:rPr>
        <w:t>Stopień ochrony układu elektrycznego oraz matryce ze źródłami światła powinny spełniać parametry określone dla IP65.</w:t>
      </w:r>
    </w:p>
    <w:p w:rsidR="00544D87" w:rsidRPr="00B14157" w:rsidRDefault="00544D87" w:rsidP="00B14157">
      <w:pPr>
        <w:tabs>
          <w:tab w:val="left" w:pos="450"/>
        </w:tabs>
        <w:jc w:val="left"/>
        <w:rPr>
          <w:sz w:val="24"/>
          <w:szCs w:val="24"/>
        </w:rPr>
      </w:pPr>
      <w:r w:rsidRPr="00B14157">
        <w:rPr>
          <w:sz w:val="24"/>
          <w:szCs w:val="24"/>
        </w:rPr>
        <w:t xml:space="preserve">Tylna powierzchnia kasety znaku powinna być zabezpieczona przed procesami korozji przez zastosowanie ochronnych powłok chemicznych.  Dla tarczy znaku aktywnego obowiązują wymagania określone w pkt </w:t>
      </w:r>
      <w:r w:rsidR="00B14157">
        <w:rPr>
          <w:sz w:val="24"/>
          <w:szCs w:val="24"/>
        </w:rPr>
        <w:t>2.2,</w:t>
      </w:r>
      <w:r w:rsidR="00E9231A">
        <w:rPr>
          <w:sz w:val="24"/>
          <w:szCs w:val="24"/>
        </w:rPr>
        <w:t xml:space="preserve"> </w:t>
      </w:r>
      <w:r w:rsidRPr="00B14157">
        <w:rPr>
          <w:sz w:val="24"/>
          <w:szCs w:val="24"/>
        </w:rPr>
        <w:t>2.</w:t>
      </w:r>
      <w:r w:rsidR="00B14157">
        <w:rPr>
          <w:sz w:val="24"/>
          <w:szCs w:val="24"/>
        </w:rPr>
        <w:t>5</w:t>
      </w:r>
      <w:r w:rsidRPr="00B14157">
        <w:rPr>
          <w:sz w:val="24"/>
          <w:szCs w:val="24"/>
        </w:rPr>
        <w:t>.</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.3.    Lico znaku aktywnego</w:t>
      </w:r>
    </w:p>
    <w:p w:rsidR="00544D87" w:rsidRDefault="00544D87" w:rsidP="00544D87">
      <w:pPr>
        <w:pStyle w:val="Akapitzlist"/>
        <w:tabs>
          <w:tab w:val="left" w:pos="450"/>
        </w:tabs>
        <w:ind w:left="0"/>
        <w:jc w:val="left"/>
        <w:rPr>
          <w:sz w:val="24"/>
          <w:szCs w:val="24"/>
        </w:rPr>
      </w:pPr>
      <w:r w:rsidRPr="00544D87">
        <w:rPr>
          <w:sz w:val="24"/>
          <w:szCs w:val="24"/>
        </w:rPr>
        <w:t>Dla lica znaku aktywnego obowiązują wymagania</w:t>
      </w:r>
      <w:r w:rsidR="00A123E2">
        <w:rPr>
          <w:sz w:val="24"/>
          <w:szCs w:val="24"/>
        </w:rPr>
        <w:t xml:space="preserve"> jak dla znaku odblaskowego.</w:t>
      </w:r>
    </w:p>
    <w:p w:rsidR="00A46E2B" w:rsidRDefault="00A46E2B" w:rsidP="00544D87">
      <w:pPr>
        <w:pStyle w:val="Akapitzlist"/>
        <w:tabs>
          <w:tab w:val="left" w:pos="450"/>
        </w:tabs>
        <w:ind w:left="0"/>
        <w:jc w:val="left"/>
        <w:rPr>
          <w:sz w:val="24"/>
          <w:szCs w:val="24"/>
        </w:rPr>
      </w:pPr>
    </w:p>
    <w:p w:rsidR="00A46E2B" w:rsidRDefault="00A46E2B" w:rsidP="00544D87">
      <w:pPr>
        <w:pStyle w:val="Akapitzlist"/>
        <w:tabs>
          <w:tab w:val="left" w:pos="450"/>
        </w:tabs>
        <w:ind w:left="0"/>
        <w:jc w:val="left"/>
        <w:rPr>
          <w:b/>
          <w:sz w:val="24"/>
          <w:szCs w:val="24"/>
        </w:rPr>
      </w:pPr>
    </w:p>
    <w:p w:rsidR="00544D87" w:rsidRDefault="00544D87" w:rsidP="00544D87">
      <w:pPr>
        <w:pStyle w:val="Akapitzlist"/>
        <w:tabs>
          <w:tab w:val="left" w:pos="450"/>
        </w:tabs>
        <w:ind w:left="0"/>
        <w:rPr>
          <w:b/>
          <w:sz w:val="24"/>
          <w:szCs w:val="24"/>
        </w:rPr>
      </w:pPr>
    </w:p>
    <w:p w:rsidR="00EE5148" w:rsidRPr="00744027" w:rsidRDefault="00EE5148" w:rsidP="00EE5148">
      <w:pPr>
        <w:pStyle w:val="Akapitzlist"/>
        <w:numPr>
          <w:ilvl w:val="1"/>
          <w:numId w:val="35"/>
        </w:numPr>
        <w:tabs>
          <w:tab w:val="left" w:pos="450"/>
        </w:tabs>
        <w:ind w:left="0" w:firstLine="0"/>
        <w:rPr>
          <w:b/>
          <w:sz w:val="24"/>
          <w:szCs w:val="24"/>
        </w:rPr>
      </w:pPr>
      <w:r>
        <w:rPr>
          <w:b/>
          <w:sz w:val="24"/>
          <w:szCs w:val="24"/>
        </w:rPr>
        <w:lastRenderedPageBreak/>
        <w:t>Zasilanie znaków aktywnych</w:t>
      </w:r>
    </w:p>
    <w:p w:rsidR="00EE5148" w:rsidRDefault="00EE5148" w:rsidP="00744027">
      <w:pPr>
        <w:contextualSpacing/>
        <w:rPr>
          <w:sz w:val="24"/>
          <w:szCs w:val="24"/>
        </w:rPr>
      </w:pPr>
    </w:p>
    <w:p w:rsidR="0044188F" w:rsidRPr="0044188F" w:rsidRDefault="0044188F" w:rsidP="0044188F">
      <w:pPr>
        <w:contextualSpacing/>
        <w:rPr>
          <w:sz w:val="24"/>
          <w:szCs w:val="24"/>
        </w:rPr>
      </w:pPr>
      <w:r w:rsidRPr="0044188F">
        <w:rPr>
          <w:sz w:val="24"/>
          <w:szCs w:val="24"/>
        </w:rPr>
        <w:t>Układ elektryczny znaków aktywnych składa się z dwóch modułów:</w:t>
      </w:r>
    </w:p>
    <w:p w:rsidR="0044188F" w:rsidRPr="0044188F" w:rsidRDefault="0044188F" w:rsidP="0044188F">
      <w:pPr>
        <w:contextualSpacing/>
        <w:rPr>
          <w:sz w:val="24"/>
          <w:szCs w:val="24"/>
        </w:rPr>
      </w:pPr>
      <w:r>
        <w:rPr>
          <w:sz w:val="24"/>
          <w:szCs w:val="24"/>
        </w:rPr>
        <w:t>-</w:t>
      </w:r>
      <w:r w:rsidRPr="0044188F">
        <w:rPr>
          <w:sz w:val="24"/>
          <w:szCs w:val="24"/>
        </w:rPr>
        <w:t>modułu zasilania</w:t>
      </w:r>
    </w:p>
    <w:p w:rsidR="0044188F" w:rsidRDefault="0044188F" w:rsidP="0044188F">
      <w:pPr>
        <w:contextualSpacing/>
        <w:rPr>
          <w:sz w:val="24"/>
          <w:szCs w:val="24"/>
        </w:rPr>
      </w:pPr>
      <w:r>
        <w:rPr>
          <w:sz w:val="24"/>
          <w:szCs w:val="24"/>
        </w:rPr>
        <w:t>-</w:t>
      </w:r>
      <w:r w:rsidRPr="0044188F">
        <w:rPr>
          <w:sz w:val="24"/>
          <w:szCs w:val="24"/>
        </w:rPr>
        <w:t>układu elektronicznego zapewniającego prawidłowe wysterowanie źródeł światła</w:t>
      </w:r>
    </w:p>
    <w:p w:rsidR="00E852D3" w:rsidRPr="0044188F" w:rsidRDefault="00E852D3" w:rsidP="0044188F">
      <w:pPr>
        <w:contextualSpacing/>
        <w:rPr>
          <w:sz w:val="24"/>
          <w:szCs w:val="24"/>
        </w:rPr>
      </w:pPr>
    </w:p>
    <w:p w:rsidR="0044188F" w:rsidRPr="0044188F" w:rsidRDefault="0044188F" w:rsidP="0044188F">
      <w:pPr>
        <w:contextualSpacing/>
        <w:rPr>
          <w:sz w:val="24"/>
          <w:szCs w:val="24"/>
        </w:rPr>
      </w:pPr>
      <w:r w:rsidRPr="0044188F">
        <w:rPr>
          <w:sz w:val="24"/>
          <w:szCs w:val="24"/>
        </w:rPr>
        <w:t>2.</w:t>
      </w:r>
      <w:r w:rsidR="00E852D3">
        <w:rPr>
          <w:sz w:val="24"/>
          <w:szCs w:val="24"/>
        </w:rPr>
        <w:t>9</w:t>
      </w:r>
      <w:r w:rsidRPr="0044188F">
        <w:rPr>
          <w:sz w:val="24"/>
          <w:szCs w:val="24"/>
        </w:rPr>
        <w:t>.1.</w:t>
      </w:r>
      <w:r w:rsidRPr="0044188F">
        <w:rPr>
          <w:sz w:val="24"/>
          <w:szCs w:val="24"/>
        </w:rPr>
        <w:tab/>
        <w:t xml:space="preserve"> Moduł zasilania</w:t>
      </w:r>
    </w:p>
    <w:p w:rsidR="0044188F" w:rsidRPr="0044188F" w:rsidRDefault="00E852D3" w:rsidP="0044188F">
      <w:pPr>
        <w:contextualSpacing/>
        <w:rPr>
          <w:sz w:val="24"/>
          <w:szCs w:val="24"/>
        </w:rPr>
      </w:pPr>
      <w:r>
        <w:rPr>
          <w:sz w:val="24"/>
          <w:szCs w:val="24"/>
        </w:rPr>
        <w:t xml:space="preserve"> </w:t>
      </w:r>
      <w:r w:rsidR="0044188F" w:rsidRPr="0044188F">
        <w:rPr>
          <w:sz w:val="24"/>
          <w:szCs w:val="24"/>
        </w:rPr>
        <w:t>Moduł zasilania może być zrealizowany dla dwóch sposobów zasilania :</w:t>
      </w:r>
    </w:p>
    <w:p w:rsidR="0044188F" w:rsidRPr="0044188F" w:rsidRDefault="0044188F" w:rsidP="0044188F">
      <w:pPr>
        <w:contextualSpacing/>
        <w:rPr>
          <w:sz w:val="24"/>
          <w:szCs w:val="24"/>
        </w:rPr>
      </w:pPr>
      <w:r>
        <w:rPr>
          <w:sz w:val="24"/>
          <w:szCs w:val="24"/>
        </w:rPr>
        <w:t>-</w:t>
      </w:r>
      <w:r w:rsidRPr="0044188F">
        <w:rPr>
          <w:sz w:val="24"/>
          <w:szCs w:val="24"/>
        </w:rPr>
        <w:t xml:space="preserve"> z sieci energetycznej</w:t>
      </w:r>
    </w:p>
    <w:p w:rsidR="0044188F" w:rsidRDefault="0044188F" w:rsidP="0044188F">
      <w:pPr>
        <w:contextualSpacing/>
        <w:rPr>
          <w:sz w:val="24"/>
          <w:szCs w:val="24"/>
        </w:rPr>
      </w:pPr>
      <w:r>
        <w:rPr>
          <w:sz w:val="24"/>
          <w:szCs w:val="24"/>
        </w:rPr>
        <w:t>-</w:t>
      </w:r>
      <w:r w:rsidRPr="0044188F">
        <w:rPr>
          <w:sz w:val="24"/>
          <w:szCs w:val="24"/>
        </w:rPr>
        <w:t xml:space="preserve"> z alternatywnych źródeł energii wyłącznie w uzasadnionych przypadkach, gdy brak jest możliwości zasialania z sieci energetycznej.</w:t>
      </w:r>
    </w:p>
    <w:p w:rsidR="0044188F" w:rsidRPr="0044188F" w:rsidRDefault="0044188F" w:rsidP="0044188F">
      <w:pPr>
        <w:contextualSpacing/>
        <w:rPr>
          <w:sz w:val="24"/>
          <w:szCs w:val="24"/>
        </w:rPr>
      </w:pPr>
    </w:p>
    <w:p w:rsidR="0044188F" w:rsidRPr="0044188F" w:rsidRDefault="0044188F" w:rsidP="00FB6052">
      <w:pPr>
        <w:ind w:firstLine="709"/>
        <w:contextualSpacing/>
        <w:rPr>
          <w:sz w:val="24"/>
          <w:szCs w:val="24"/>
        </w:rPr>
      </w:pPr>
      <w:r w:rsidRPr="0044188F">
        <w:rPr>
          <w:sz w:val="24"/>
          <w:szCs w:val="24"/>
        </w:rPr>
        <w:t>W przypadku zasilania z sieci moduł powinien być zbudowany z układu zmieniającego zasilanie prądem przemiennym  na zasilanie prądem stałym oraz układów zapewniających ochronę czynną i bierną przed porażeniem prądowym zgodnie z PN-IEC 60364.</w:t>
      </w:r>
    </w:p>
    <w:p w:rsidR="0044188F" w:rsidRPr="0044188F" w:rsidRDefault="0044188F" w:rsidP="0044188F">
      <w:pPr>
        <w:contextualSpacing/>
        <w:rPr>
          <w:sz w:val="24"/>
          <w:szCs w:val="24"/>
        </w:rPr>
      </w:pPr>
      <w:r w:rsidRPr="0044188F">
        <w:rPr>
          <w:sz w:val="24"/>
          <w:szCs w:val="24"/>
        </w:rPr>
        <w:t xml:space="preserve">Przy zasilaniu znaków aktywnych ze źródeł alternatywnych należy zapewnić  akumulację energii (wystarczającej na min. 14 godzin)wytworzonej przez dane źródła. </w:t>
      </w:r>
    </w:p>
    <w:p w:rsidR="0044188F" w:rsidRDefault="0044188F" w:rsidP="0044188F">
      <w:pPr>
        <w:contextualSpacing/>
        <w:rPr>
          <w:sz w:val="24"/>
          <w:szCs w:val="24"/>
        </w:rPr>
      </w:pPr>
      <w:r w:rsidRPr="0044188F">
        <w:rPr>
          <w:sz w:val="24"/>
          <w:szCs w:val="24"/>
        </w:rPr>
        <w:t xml:space="preserve">Układ zasilania alternatywnego powinien zabezpieczać bilans mocy.  </w:t>
      </w:r>
    </w:p>
    <w:p w:rsidR="00D21D91" w:rsidRPr="00744027" w:rsidRDefault="00D21D91" w:rsidP="00744027">
      <w:pPr>
        <w:contextualSpacing/>
        <w:rPr>
          <w:sz w:val="24"/>
          <w:szCs w:val="24"/>
        </w:rPr>
      </w:pPr>
    </w:p>
    <w:p w:rsidR="00D21D91" w:rsidRPr="00744027" w:rsidRDefault="00D21D91" w:rsidP="00226D00">
      <w:pPr>
        <w:pStyle w:val="Akapitzlist"/>
        <w:numPr>
          <w:ilvl w:val="1"/>
          <w:numId w:val="35"/>
        </w:numPr>
        <w:tabs>
          <w:tab w:val="left" w:pos="450"/>
          <w:tab w:val="left" w:pos="630"/>
        </w:tabs>
        <w:ind w:left="0" w:firstLine="0"/>
        <w:rPr>
          <w:b/>
          <w:sz w:val="24"/>
          <w:szCs w:val="24"/>
        </w:rPr>
      </w:pPr>
      <w:r w:rsidRPr="00744027">
        <w:rPr>
          <w:b/>
          <w:sz w:val="24"/>
          <w:szCs w:val="24"/>
        </w:rPr>
        <w:t>Osłony przeciwolśnieniowe</w:t>
      </w:r>
    </w:p>
    <w:p w:rsidR="00D21D91" w:rsidRPr="00744027" w:rsidRDefault="00D21D91" w:rsidP="00744027">
      <w:pPr>
        <w:contextualSpacing/>
        <w:rPr>
          <w:sz w:val="24"/>
          <w:szCs w:val="24"/>
        </w:rPr>
      </w:pPr>
    </w:p>
    <w:p w:rsidR="00F55E1C" w:rsidRDefault="00F55E1C" w:rsidP="00FB6052">
      <w:pPr>
        <w:ind w:firstLine="709"/>
        <w:contextualSpacing/>
        <w:rPr>
          <w:sz w:val="24"/>
          <w:szCs w:val="24"/>
        </w:rPr>
      </w:pPr>
      <w:r>
        <w:rPr>
          <w:sz w:val="24"/>
          <w:szCs w:val="24"/>
        </w:rPr>
        <w:t>W przypadku osłon przeciwolśnieniewych</w:t>
      </w:r>
      <w:r w:rsidR="006738E5">
        <w:rPr>
          <w:sz w:val="24"/>
          <w:szCs w:val="24"/>
        </w:rPr>
        <w:t xml:space="preserve"> montowanych</w:t>
      </w:r>
      <w:r>
        <w:rPr>
          <w:sz w:val="24"/>
          <w:szCs w:val="24"/>
        </w:rPr>
        <w:t xml:space="preserve"> na barierach energochłonnych należy zapewnić ich wzajemną kompatybilność potwierdzoną odpowiednimi dokumentami.</w:t>
      </w:r>
    </w:p>
    <w:p w:rsidR="006738E5" w:rsidRPr="00744027" w:rsidRDefault="006738E5" w:rsidP="00FB6052">
      <w:pPr>
        <w:ind w:firstLine="709"/>
        <w:contextualSpacing/>
        <w:rPr>
          <w:sz w:val="24"/>
          <w:szCs w:val="24"/>
        </w:rPr>
      </w:pPr>
      <w:r w:rsidRPr="00744027">
        <w:rPr>
          <w:sz w:val="24"/>
          <w:szCs w:val="24"/>
        </w:rPr>
        <w:t>Sposób montażu osłon przeciwolśnieniowych na stalowych barierach ochronnych powinien odbywać się w sposób nie naruszający ochrony antykorozyjnej barier stalowych.</w:t>
      </w:r>
    </w:p>
    <w:p w:rsidR="00F55E1C" w:rsidRDefault="00F55E1C" w:rsidP="00744027">
      <w:pPr>
        <w:contextualSpacing/>
        <w:rPr>
          <w:sz w:val="24"/>
          <w:szCs w:val="24"/>
        </w:rPr>
      </w:pPr>
      <w:r w:rsidRPr="00744027">
        <w:rPr>
          <w:sz w:val="24"/>
          <w:szCs w:val="24"/>
        </w:rPr>
        <w:t>Wykonawca przedstawi Inżynierowi do akceptacji typ oraz producenta osłon przeciwolśnieniowych.</w:t>
      </w:r>
    </w:p>
    <w:p w:rsidR="00D21D91" w:rsidRPr="00744027" w:rsidRDefault="00D21D91"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Materiały do montażu znaków</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Wszystkie łączniki metalowe przewidywane do mocowania między sobą elementów konstrukcji wsporczych znaków jak śruby, listwy, wkręty, nakrętki itp. powinny być czyste, gładkie, bez pęknięć, naderwań, rozwarstwień i wypukłych karbów.</w:t>
      </w:r>
      <w:r w:rsidR="00CC2A34" w:rsidRPr="00744027">
        <w:rPr>
          <w:sz w:val="24"/>
          <w:szCs w:val="24"/>
        </w:rPr>
        <w:t xml:space="preserve"> </w:t>
      </w:r>
      <w:r w:rsidRPr="00744027">
        <w:rPr>
          <w:sz w:val="24"/>
          <w:szCs w:val="24"/>
        </w:rPr>
        <w:t>Łączniki mogą być dostarczane w pudełkach tekturowych, pojemnikach blaszanych lub paletach, w zależności od ich wielkości. Łączniki powinny być ocynkowane ogniowo lub wykonane z materiałów odpornych na korozję w czasie nie</w:t>
      </w:r>
      <w:r w:rsidR="00CC2A34" w:rsidRPr="00744027">
        <w:rPr>
          <w:sz w:val="24"/>
          <w:szCs w:val="24"/>
        </w:rPr>
        <w:t xml:space="preserve"> </w:t>
      </w:r>
      <w:r w:rsidRPr="00744027">
        <w:rPr>
          <w:sz w:val="24"/>
          <w:szCs w:val="24"/>
        </w:rPr>
        <w:t>krótszym niż tarcza znaku i konstrukcja wsporcza.</w:t>
      </w:r>
    </w:p>
    <w:p w:rsidR="00CC2A34" w:rsidRDefault="00CC2A34" w:rsidP="00744027">
      <w:pPr>
        <w:contextualSpacing/>
        <w:rPr>
          <w:sz w:val="24"/>
          <w:szCs w:val="24"/>
        </w:rPr>
      </w:pPr>
    </w:p>
    <w:p w:rsidR="006D1CC7" w:rsidRPr="00744027" w:rsidRDefault="006D1CC7"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Przechowywanie i składowanie materiałów</w:t>
      </w:r>
    </w:p>
    <w:p w:rsidR="00CC2A34" w:rsidRPr="00744027" w:rsidRDefault="00CC2A34" w:rsidP="00744027">
      <w:pPr>
        <w:contextualSpacing/>
        <w:rPr>
          <w:sz w:val="24"/>
          <w:szCs w:val="24"/>
        </w:rPr>
      </w:pPr>
    </w:p>
    <w:p w:rsidR="007B1253" w:rsidRPr="00744027" w:rsidRDefault="006738E5" w:rsidP="00744027">
      <w:pPr>
        <w:contextualSpacing/>
        <w:rPr>
          <w:sz w:val="24"/>
          <w:szCs w:val="24"/>
        </w:rPr>
      </w:pPr>
      <w:r>
        <w:rPr>
          <w:sz w:val="24"/>
          <w:szCs w:val="24"/>
        </w:rPr>
        <w:t>Wszystkie materiały użyte do wykonania robót należy przechowywać w odpowiednich warunkach zgodnie ze sztuką budowlaną tak, aby nie uległy uszkodzeniom</w:t>
      </w:r>
      <w:r w:rsidR="007B1253" w:rsidRPr="00744027">
        <w:rPr>
          <w:sz w:val="24"/>
          <w:szCs w:val="24"/>
        </w:rPr>
        <w:t>.</w:t>
      </w:r>
    </w:p>
    <w:p w:rsidR="00F80E88" w:rsidRDefault="00F80E88"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SPRZĘT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sprzętu</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lastRenderedPageBreak/>
        <w:t xml:space="preserve">Ogólne wymagania </w:t>
      </w:r>
      <w:r w:rsidR="002776AE" w:rsidRPr="00744027">
        <w:rPr>
          <w:sz w:val="24"/>
          <w:szCs w:val="24"/>
        </w:rPr>
        <w:t>dotyczące sprzętu podano w ST D</w:t>
      </w:r>
      <w:r w:rsidR="00696743" w:rsidRPr="00744027">
        <w:rPr>
          <w:sz w:val="24"/>
          <w:szCs w:val="24"/>
        </w:rPr>
        <w:t>M</w:t>
      </w:r>
      <w:r w:rsidRPr="00744027">
        <w:rPr>
          <w:sz w:val="24"/>
          <w:szCs w:val="24"/>
        </w:rPr>
        <w:t>-00.00.00 „Wymagania ogólne" punkt 3.</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Sprzęt do wykonania oznakowania pionowego</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Roboty związane z wykonaniem i ustawieniem oznakowania pionowego mogą być wykonane przy użyciu dowolnego sprzętu mechanicznego, zaakceptowanego przez Inżyniera.</w:t>
      </w:r>
    </w:p>
    <w:p w:rsidR="00CC2A34" w:rsidRPr="00744027" w:rsidRDefault="00CC2A34" w:rsidP="00744027">
      <w:pPr>
        <w:contextualSpacing/>
        <w:rPr>
          <w:sz w:val="24"/>
          <w:szCs w:val="24"/>
        </w:rPr>
      </w:pPr>
    </w:p>
    <w:p w:rsidR="00CC2A34" w:rsidRPr="00744027" w:rsidRDefault="00CC2A34" w:rsidP="00744027">
      <w:pPr>
        <w:contextualSpacing/>
        <w:rPr>
          <w:sz w:val="24"/>
          <w:szCs w:val="24"/>
        </w:rPr>
      </w:pPr>
      <w:r w:rsidRPr="00744027">
        <w:rPr>
          <w:sz w:val="24"/>
          <w:szCs w:val="24"/>
        </w:rPr>
        <w:t>Wykonawca przystępujący do wykonania oznakowania pionowego powinien wykazać się możliwością korzystania z następującego sprzętu:</w:t>
      </w:r>
    </w:p>
    <w:p w:rsidR="00CC2A34" w:rsidRPr="00744027" w:rsidRDefault="00CC2A34" w:rsidP="00744027">
      <w:pPr>
        <w:numPr>
          <w:ilvl w:val="0"/>
          <w:numId w:val="19"/>
        </w:numPr>
        <w:contextualSpacing/>
        <w:rPr>
          <w:sz w:val="24"/>
          <w:szCs w:val="24"/>
        </w:rPr>
      </w:pPr>
      <w:r w:rsidRPr="00744027">
        <w:rPr>
          <w:sz w:val="24"/>
          <w:szCs w:val="24"/>
        </w:rPr>
        <w:t>koparek kołowych lub koparek gąsienicowych,</w:t>
      </w:r>
    </w:p>
    <w:p w:rsidR="00CC2A34" w:rsidRPr="00744027" w:rsidRDefault="00CC2A34" w:rsidP="00744027">
      <w:pPr>
        <w:numPr>
          <w:ilvl w:val="0"/>
          <w:numId w:val="19"/>
        </w:numPr>
        <w:contextualSpacing/>
        <w:rPr>
          <w:sz w:val="24"/>
          <w:szCs w:val="24"/>
        </w:rPr>
      </w:pPr>
      <w:r w:rsidRPr="00744027">
        <w:rPr>
          <w:sz w:val="24"/>
          <w:szCs w:val="24"/>
        </w:rPr>
        <w:t>żurawi samochodowych o udźwigu do 4 t,</w:t>
      </w:r>
    </w:p>
    <w:p w:rsidR="00CC2A34" w:rsidRPr="00744027" w:rsidRDefault="00CC2A34" w:rsidP="00744027">
      <w:pPr>
        <w:numPr>
          <w:ilvl w:val="0"/>
          <w:numId w:val="19"/>
        </w:numPr>
        <w:contextualSpacing/>
        <w:rPr>
          <w:sz w:val="24"/>
          <w:szCs w:val="24"/>
        </w:rPr>
      </w:pPr>
      <w:r w:rsidRPr="00744027">
        <w:rPr>
          <w:sz w:val="24"/>
          <w:szCs w:val="24"/>
        </w:rPr>
        <w:t>wiertnic do wykonywania dołów pod słupki w gruncie spoistym,</w:t>
      </w:r>
    </w:p>
    <w:p w:rsidR="00CC2A34" w:rsidRPr="00744027" w:rsidRDefault="00CC2A34" w:rsidP="00744027">
      <w:pPr>
        <w:numPr>
          <w:ilvl w:val="0"/>
          <w:numId w:val="19"/>
        </w:numPr>
        <w:contextualSpacing/>
        <w:rPr>
          <w:sz w:val="24"/>
          <w:szCs w:val="24"/>
        </w:rPr>
      </w:pPr>
      <w:r w:rsidRPr="00744027">
        <w:rPr>
          <w:sz w:val="24"/>
          <w:szCs w:val="24"/>
        </w:rPr>
        <w:t>betoniarek przewoźnych do wykonywania fundamentów betonowych "na mokro", - środków transportowych do przewozu materiałów,</w:t>
      </w:r>
    </w:p>
    <w:p w:rsidR="00CC2A34" w:rsidRPr="00744027" w:rsidRDefault="00CC2A34" w:rsidP="00744027">
      <w:pPr>
        <w:numPr>
          <w:ilvl w:val="0"/>
          <w:numId w:val="19"/>
        </w:numPr>
        <w:contextualSpacing/>
        <w:rPr>
          <w:sz w:val="24"/>
          <w:szCs w:val="24"/>
        </w:rPr>
      </w:pPr>
      <w:r w:rsidRPr="00744027">
        <w:rPr>
          <w:sz w:val="24"/>
          <w:szCs w:val="24"/>
        </w:rPr>
        <w:t>przewoźnych zbiorników na wodę,</w:t>
      </w:r>
    </w:p>
    <w:p w:rsidR="00CC2A34" w:rsidRPr="00744027" w:rsidRDefault="00CC2A34" w:rsidP="00744027">
      <w:pPr>
        <w:numPr>
          <w:ilvl w:val="0"/>
          <w:numId w:val="19"/>
        </w:numPr>
        <w:contextualSpacing/>
        <w:rPr>
          <w:sz w:val="24"/>
          <w:szCs w:val="24"/>
        </w:rPr>
      </w:pPr>
      <w:r w:rsidRPr="00744027">
        <w:rPr>
          <w:sz w:val="24"/>
          <w:szCs w:val="24"/>
        </w:rPr>
        <w:t xml:space="preserve"> sprzętu spawalniczego, itp.</w:t>
      </w:r>
    </w:p>
    <w:p w:rsidR="00781BDE" w:rsidRDefault="00CC2A34" w:rsidP="00744027">
      <w:pPr>
        <w:contextualSpacing/>
        <w:rPr>
          <w:sz w:val="24"/>
          <w:szCs w:val="24"/>
        </w:rPr>
      </w:pPr>
      <w:r w:rsidRPr="00744027">
        <w:rPr>
          <w:sz w:val="24"/>
          <w:szCs w:val="24"/>
        </w:rPr>
        <w:t>Pierwsze dwie pozycje dotyczą wykonawcy znaków bramowych.</w:t>
      </w:r>
    </w:p>
    <w:p w:rsidR="00910643" w:rsidRDefault="00910643"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TRANSPORT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transportu</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Ogólne wymagania dot</w:t>
      </w:r>
      <w:r w:rsidR="002776AE" w:rsidRPr="00744027">
        <w:rPr>
          <w:sz w:val="24"/>
          <w:szCs w:val="24"/>
        </w:rPr>
        <w:t>yczące transportu podano w ST D</w:t>
      </w:r>
      <w:r w:rsidR="005854D2" w:rsidRPr="00744027">
        <w:rPr>
          <w:sz w:val="24"/>
          <w:szCs w:val="24"/>
        </w:rPr>
        <w:t>M</w:t>
      </w:r>
      <w:r w:rsidRPr="00744027">
        <w:rPr>
          <w:sz w:val="24"/>
          <w:szCs w:val="24"/>
        </w:rPr>
        <w:t xml:space="preserve">-00.00.00 „Wymagania ogólne" </w:t>
      </w:r>
      <w:r w:rsidRPr="00744027">
        <w:rPr>
          <w:sz w:val="24"/>
          <w:szCs w:val="24"/>
        </w:rPr>
        <w:br/>
        <w:t>punkt 4.</w:t>
      </w:r>
    </w:p>
    <w:p w:rsidR="005B5C39" w:rsidRPr="00744027" w:rsidRDefault="005B5C39"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Transport materiałów do pionowego oznakowania dróg</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Transport cementu powinien odbywać się zgodnie z BN-88/6731-08. Transport kruszywa powinien odbywać się zgodnie z PN-B-06712. Prefabrykaty betonowe - do zamocowania konstrukcji wsporczych znaków, powinny być przewożone środkami transportowymi w warunkach zabezpieczających je przed uszkodzeniami. Rozmieszczenie prefabrykatów na środkach transportu powinno być symetryczne.</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Wykonawca zapewni wszelkie warunki techniczne jak odpowiednie opakowanie i zabezpieczenie znaków i tablic przed powstaniem jakichkolwiek uszkodzeń w trakcie transportu. W szczególności warunki transportu uniemożliwią przesuwanie się przewożonych znaków i tablic, ich wzajemne obcieranie i uderzanie.</w:t>
      </w:r>
    </w:p>
    <w:p w:rsidR="00CC2A34" w:rsidRPr="00744027" w:rsidRDefault="00CC2A34" w:rsidP="00744027">
      <w:pPr>
        <w:contextualSpacing/>
        <w:rPr>
          <w:sz w:val="24"/>
          <w:szCs w:val="24"/>
        </w:rPr>
      </w:pPr>
    </w:p>
    <w:p w:rsidR="00C35FD6" w:rsidRDefault="00CC2A34" w:rsidP="00B53D4F">
      <w:pPr>
        <w:ind w:firstLine="270"/>
        <w:contextualSpacing/>
        <w:rPr>
          <w:sz w:val="24"/>
          <w:szCs w:val="24"/>
        </w:rPr>
      </w:pPr>
      <w:r w:rsidRPr="00744027">
        <w:rPr>
          <w:sz w:val="24"/>
          <w:szCs w:val="24"/>
        </w:rPr>
        <w:t>Znaki drogowe należy na okres transportu odpowiednio zabezpieczyć, tak aby nie ulegały przemieszczaniu i w sposób nie uszkodzony dotarły do odbiorcy.</w:t>
      </w:r>
    </w:p>
    <w:p w:rsidR="00F80E88" w:rsidRPr="00744027" w:rsidRDefault="00F80E88" w:rsidP="00744027">
      <w:p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WYKONANIE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wykonywania robót</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 xml:space="preserve">Ogólne zasady </w:t>
      </w:r>
      <w:r w:rsidR="002776AE" w:rsidRPr="00744027">
        <w:rPr>
          <w:sz w:val="24"/>
          <w:szCs w:val="24"/>
        </w:rPr>
        <w:t>wykonywania robót podano w ST D</w:t>
      </w:r>
      <w:r w:rsidR="00A8199E" w:rsidRPr="00744027">
        <w:rPr>
          <w:sz w:val="24"/>
          <w:szCs w:val="24"/>
        </w:rPr>
        <w:t>M</w:t>
      </w:r>
      <w:r w:rsidRPr="00744027">
        <w:rPr>
          <w:sz w:val="24"/>
          <w:szCs w:val="24"/>
        </w:rPr>
        <w:t>-00.00.00 „Wymagania ogólne" punkt 5.</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Roboty przygotowawcze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Przed przystąpieniem do robót należy wyznaczyć:</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lokalizację znaku, tj. jego pikietaż oraz odległość od krawędzi jezdni, krawędzi pobocza umocnionego lub pasa awaryjnego postoju,</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wysokość zamocowania znaku na konstrukcji wsporczej.</w:t>
      </w: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Punkty stabilizujące miejsca ustawienia znaków należy zabezpieczyć w taki sposób, aby w czasie trwania i odbioru robót istniała możliwość sprawdzenia lokalizacji znaków. Lokalizacja i wysokość zamocowania znaku powinny być zgodne z Rysunkami oraz wymaganiami podanymi w „Instrukcji o znakach drogowych pionowych”.</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Wykonanie wykopów i fundamentów dla konstrukcji wsporczych znaków</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Sposób wykonania wykopu pod fundament znaku pionowego powinien być dostosowany do głębokości wykopu, rodzaju gruntu i posiadanego sprzętu. Wymiary wykopu powinny być zgodne z Rysunkami lub wskazaniami Inżyniera. Wykopy fundamentowe powinny być wykonane w takim okresie, aby po ich zakończeniu można było przystąpić natychmiast do wykonania w nich robót fundamentowych.</w:t>
      </w:r>
    </w:p>
    <w:p w:rsidR="00263DD6" w:rsidRPr="00744027" w:rsidRDefault="00263D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Prefabrykaty betonowe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Dno wykopu przed ułożeniem prefabrykatu należy wyrównać i zagęścić. Wolne przestrzenie między ścianami gruntu i prefabrykatem należy wypełnić odpowiednim materiałem, np. klińcem i dokładnie zagęścić ubijakami ręcznymi. Jeżeli znak jest zlokalizowany na poboczu drogi, to górna powierzchnia prefabrykatu powinna być równa z powierzchnią pobocza lub być wyniesiona nad tę powierzchnię nie więcej niż 0,03 m.</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Fundamenty z betonu i betonu zbrojonego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Wykopy pod fundamenty konstrukcji wsporczych dla zamocowania znaków wielkowymiarowych (znak kierunku i miejscowości), wykonywane z betonu "na mokro" lub z betonu zbrojonego należy wykonać zgodnie z PN-S-02205 [24]. Sposób posadowienia fundamentów w wykopach otwartych bądź rozpartych zostanie zaproponowany przez Wykonawcę i uzgodniony z Inżynierem. Wykopy należy zabezpieczyć przed napływem wód opadowych przez wyprofilowanie terenu ze spadkiem umożliwiającym łatwy odpływ wody poza teren przylegający do wykopu. Dno wykopu powinno być wyrównane z dokładnością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 xml:space="preserve">. Przy naruszonej strukturze gruntu rodzimego, grunt należy usunąć i miejsce wypełnić do spodu fundamentu betonem klasy </w:t>
      </w:r>
      <w:r w:rsidR="00263DD6">
        <w:rPr>
          <w:rFonts w:ascii="Times New Roman" w:hAnsi="Times New Roman" w:cs="Times New Roman"/>
          <w:sz w:val="24"/>
          <w:szCs w:val="24"/>
        </w:rPr>
        <w:t>C</w:t>
      </w:r>
      <w:r w:rsidRPr="00744027">
        <w:rPr>
          <w:rFonts w:ascii="Times New Roman" w:hAnsi="Times New Roman" w:cs="Times New Roman"/>
          <w:sz w:val="24"/>
          <w:szCs w:val="24"/>
        </w:rPr>
        <w:t xml:space="preserve"> 1</w:t>
      </w:r>
      <w:r w:rsidR="00263DD6">
        <w:rPr>
          <w:rFonts w:ascii="Times New Roman" w:hAnsi="Times New Roman" w:cs="Times New Roman"/>
          <w:sz w:val="24"/>
          <w:szCs w:val="24"/>
        </w:rPr>
        <w:t>6/20</w:t>
      </w:r>
      <w:r w:rsidRPr="00744027">
        <w:rPr>
          <w:rFonts w:ascii="Times New Roman" w:hAnsi="Times New Roman" w:cs="Times New Roman"/>
          <w:sz w:val="24"/>
          <w:szCs w:val="24"/>
        </w:rPr>
        <w:t xml:space="preserve">. Płaszczyzny boczne fundamentów stykające się z gruntem należy zabezpieczyć izolacją, np. emulsją kationową. Po wykonaniu fundamentu wykop należy zasypać warstwami grubości </w:t>
      </w:r>
      <w:smartTag w:uri="urn:schemas-microsoft-com:office:smarttags" w:element="metricconverter">
        <w:smartTagPr>
          <w:attr w:name="ProductID" w:val="20 cm"/>
        </w:smartTagPr>
        <w:r w:rsidRPr="00744027">
          <w:rPr>
            <w:rFonts w:ascii="Times New Roman" w:hAnsi="Times New Roman" w:cs="Times New Roman"/>
            <w:sz w:val="24"/>
            <w:szCs w:val="24"/>
          </w:rPr>
          <w:t>20 cm</w:t>
        </w:r>
      </w:smartTag>
      <w:r w:rsidRPr="00744027">
        <w:rPr>
          <w:rFonts w:ascii="Times New Roman" w:hAnsi="Times New Roman" w:cs="Times New Roman"/>
          <w:sz w:val="24"/>
          <w:szCs w:val="24"/>
        </w:rPr>
        <w:t xml:space="preserve"> z dokładnym zagęszczeniem gruntu.</w:t>
      </w:r>
    </w:p>
    <w:p w:rsidR="00503460" w:rsidRPr="00744027" w:rsidRDefault="00503460"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Tolerancje ustawienia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 słupki, słupy, wysięgniki, konstrukcje dla tablic wielkowymiarowych, powinny być wykonane zgodnie z Rysunkami i Specyfikacją.</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Dopuszczalne tolerancje ustawienia znaku:</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od pionu,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1 %,</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 xml:space="preserve">odchyłka w wysokości umieszczenia znaku,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w odległości ustawienia znaku od krawędzi jezdni, krawędzi umocnionego pobocza lub pasa awaryjnego postoju,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5 cm"/>
        </w:smartTagPr>
        <w:r w:rsidRPr="00744027">
          <w:rPr>
            <w:rFonts w:ascii="Times New Roman" w:hAnsi="Times New Roman" w:cs="Times New Roman"/>
            <w:sz w:val="24"/>
            <w:szCs w:val="24"/>
          </w:rPr>
          <w:t>5 cm</w:t>
        </w:r>
      </w:smartTag>
      <w:r w:rsidRPr="00744027">
        <w:rPr>
          <w:rFonts w:ascii="Times New Roman" w:hAnsi="Times New Roman" w:cs="Times New Roman"/>
          <w:sz w:val="24"/>
          <w:szCs w:val="24"/>
        </w:rPr>
        <w:t>, przy zachowaniu minimalnej odległości umieszczenia znaku zgodnie z Instrukcją o znakach drogowych pionowych.</w:t>
      </w:r>
    </w:p>
    <w:p w:rsidR="00C35FD6" w:rsidRPr="00744027" w:rsidRDefault="00C35FD6" w:rsidP="008F43E1">
      <w:pPr>
        <w:pStyle w:val="Nagwek2"/>
        <w:tabs>
          <w:tab w:val="left" w:pos="450"/>
        </w:tabs>
        <w:ind w:left="0" w:firstLine="0"/>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Konstrukcje wsporcze</w:t>
      </w:r>
    </w:p>
    <w:p w:rsidR="00C35FD6" w:rsidRPr="00744027" w:rsidRDefault="00C35FD6" w:rsidP="00744027">
      <w:pPr>
        <w:pStyle w:val="Nagwek3"/>
        <w:contextualSpacing/>
        <w:rPr>
          <w:sz w:val="24"/>
          <w:szCs w:val="24"/>
        </w:rPr>
      </w:pPr>
    </w:p>
    <w:p w:rsidR="0072341B" w:rsidRDefault="0072341B" w:rsidP="008F43E1">
      <w:pPr>
        <w:pStyle w:val="Akapitzlist"/>
        <w:numPr>
          <w:ilvl w:val="2"/>
          <w:numId w:val="32"/>
        </w:numPr>
        <w:ind w:left="0" w:firstLine="0"/>
        <w:rPr>
          <w:sz w:val="24"/>
          <w:szCs w:val="24"/>
        </w:rPr>
      </w:pPr>
      <w:r w:rsidRPr="008F43E1">
        <w:rPr>
          <w:sz w:val="24"/>
          <w:szCs w:val="24"/>
        </w:rPr>
        <w:t>Zabezpieczenie konstrukcji wsporczej przed najechaniem</w:t>
      </w:r>
    </w:p>
    <w:p w:rsidR="0072341B" w:rsidRDefault="0072341B"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44027">
          <w:rPr>
            <w:rFonts w:ascii="Times New Roman" w:hAnsi="Times New Roman" w:cs="Times New Roman"/>
            <w:sz w:val="24"/>
            <w:szCs w:val="24"/>
          </w:rPr>
          <w:t>4,5 m2</w:t>
        </w:r>
      </w:smartTag>
      <w:r w:rsidRPr="00744027">
        <w:rPr>
          <w:rFonts w:ascii="Times New Roman" w:hAnsi="Times New Roman" w:cs="Times New Roman"/>
          <w:sz w:val="24"/>
          <w:szCs w:val="24"/>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385A95" w:rsidRPr="00910643" w:rsidRDefault="00385A95" w:rsidP="00910643">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Łatwo zrywalne złącza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 przypadku konstrukcji wsporczych, nie osłoniętych barierami ochronnymi - należy stosować łatwo zrywalne lub łatwo rozłączalne przekroje, złącza lub przeguby o odpowiednio bezpiecznej konstrukcji, umieszczone na wysokości od 0,15 do </w:t>
      </w:r>
      <w:smartTag w:uri="urn:schemas-microsoft-com:office:smarttags" w:element="metricconverter">
        <w:smartTagPr>
          <w:attr w:name="ProductID" w:val="0,20 m"/>
        </w:smartTagPr>
        <w:r w:rsidRPr="00744027">
          <w:rPr>
            <w:rFonts w:ascii="Times New Roman" w:hAnsi="Times New Roman" w:cs="Times New Roman"/>
            <w:sz w:val="24"/>
            <w:szCs w:val="24"/>
          </w:rPr>
          <w:t>0,20 m</w:t>
        </w:r>
      </w:smartTag>
      <w:r w:rsidRPr="00744027">
        <w:rPr>
          <w:rFonts w:ascii="Times New Roman" w:hAnsi="Times New Roman" w:cs="Times New Roman"/>
          <w:sz w:val="24"/>
          <w:szCs w:val="24"/>
        </w:rPr>
        <w:t xml:space="preserve"> nad powierzchnią terenu.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44027">
          <w:rPr>
            <w:rFonts w:ascii="Times New Roman" w:hAnsi="Times New Roman" w:cs="Times New Roman"/>
            <w:sz w:val="24"/>
            <w:szCs w:val="24"/>
          </w:rPr>
          <w:t>0,25 m</w:t>
        </w:r>
      </w:smartTag>
      <w:r w:rsidRPr="00744027">
        <w:rPr>
          <w:rFonts w:ascii="Times New Roman" w:hAnsi="Times New Roman" w:cs="Times New Roman"/>
          <w:sz w:val="24"/>
          <w:szCs w:val="24"/>
        </w:rPr>
        <w:t>.</w:t>
      </w:r>
    </w:p>
    <w:p w:rsidR="00C35FD6"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Akapitzlist"/>
        <w:numPr>
          <w:ilvl w:val="2"/>
          <w:numId w:val="32"/>
        </w:numPr>
        <w:ind w:left="0" w:firstLine="0"/>
        <w:rPr>
          <w:sz w:val="24"/>
          <w:szCs w:val="24"/>
        </w:rPr>
      </w:pPr>
      <w:r w:rsidRPr="00744027">
        <w:rPr>
          <w:sz w:val="24"/>
          <w:szCs w:val="24"/>
        </w:rPr>
        <w:t>Zapobieganie zagrożeniu użytkowników drogi i terenu przyległego - przez konstrukcję wsporczą</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Tablicowe znaki drogowe na dwóch słupach lub podporach</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Poziom górnej powierzchni fundamentu</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zamocowaniu konstrukcji wsporczej znaku w fundamencie betonowym lub innym podobnym - górna część fundamentu winna być wyniesiona nad powierzchnię pobocza lub pasa dzielącego </w:t>
      </w:r>
      <w:smartTag w:uri="urn:schemas-microsoft-com:office:smarttags" w:element="metricconverter">
        <w:smartTagPr>
          <w:attr w:name="ProductID" w:val="0,05 m"/>
        </w:smartTagPr>
        <w:r w:rsidRPr="00744027">
          <w:rPr>
            <w:rFonts w:ascii="Times New Roman" w:hAnsi="Times New Roman" w:cs="Times New Roman"/>
            <w:sz w:val="24"/>
            <w:szCs w:val="24"/>
          </w:rPr>
          <w:t>0,05 m</w:t>
        </w:r>
      </w:smartTag>
      <w:r w:rsidRPr="00744027">
        <w:rPr>
          <w:rFonts w:ascii="Times New Roman" w:hAnsi="Times New Roman" w:cs="Times New Roman"/>
          <w:sz w:val="24"/>
          <w:szCs w:val="24"/>
        </w:rPr>
        <w:t xml:space="preserve">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0,02 m"/>
        </w:smartTagPr>
        <w:r w:rsidRPr="00744027">
          <w:rPr>
            <w:rFonts w:ascii="Times New Roman" w:hAnsi="Times New Roman" w:cs="Times New Roman"/>
            <w:sz w:val="24"/>
            <w:szCs w:val="24"/>
          </w:rPr>
          <w:t>0,02 m</w:t>
        </w:r>
      </w:smartTag>
      <w:r w:rsidRPr="00744027">
        <w:rPr>
          <w:rFonts w:ascii="Times New Roman" w:hAnsi="Times New Roman" w:cs="Times New Roman"/>
          <w:sz w:val="24"/>
          <w:szCs w:val="24"/>
        </w:rPr>
        <w:t xml:space="preserve">. W przypadku konstrukcji wsporczych, </w:t>
      </w:r>
      <w:r w:rsidRPr="00744027">
        <w:rPr>
          <w:rFonts w:ascii="Times New Roman" w:hAnsi="Times New Roman" w:cs="Times New Roman"/>
          <w:sz w:val="24"/>
          <w:szCs w:val="24"/>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44027">
          <w:rPr>
            <w:rFonts w:ascii="Times New Roman" w:hAnsi="Times New Roman" w:cs="Times New Roman"/>
            <w:sz w:val="24"/>
            <w:szCs w:val="24"/>
          </w:rPr>
          <w:t>0,15 m</w:t>
        </w:r>
      </w:smartTag>
      <w:r w:rsidRPr="00744027">
        <w:rPr>
          <w:rFonts w:ascii="Times New Roman" w:hAnsi="Times New Roman" w:cs="Times New Roman"/>
          <w:sz w:val="24"/>
          <w:szCs w:val="24"/>
        </w:rPr>
        <w:t>.</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Barwa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Połączenie tarczy znaku z konstrukcją wsporczą</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Należy stosować elementy złączne o konstrukcji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Trwałość wykonania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D72359" w:rsidRPr="00744027" w:rsidRDefault="00D72359"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 w:val="left" w:pos="540"/>
        </w:tabs>
        <w:ind w:left="0" w:firstLine="0"/>
        <w:contextualSpacing/>
        <w:rPr>
          <w:szCs w:val="24"/>
        </w:rPr>
      </w:pPr>
      <w:r w:rsidRPr="00744027">
        <w:rPr>
          <w:szCs w:val="24"/>
        </w:rPr>
        <w:t>Tabliczka znamionowa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Każdy wykonany znak drogowy oraz każda konstrukcja wsporcza musi mieć tabliczkę znamionową z:</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i datę normy tj. PN-EN 12899-1:2005 [16],</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klasy istotnych właściwości wyrobu,</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miesiąc i dwie ostatnie cyfry roku produkcji,</w:t>
      </w:r>
    </w:p>
    <w:p w:rsidR="00C35FD6" w:rsidRPr="00744027" w:rsidRDefault="00C35FD6"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nazwą, </w:t>
      </w:r>
      <w:r w:rsidR="00FA20D7" w:rsidRPr="00744027">
        <w:rPr>
          <w:rFonts w:ascii="Times New Roman" w:hAnsi="Times New Roman" w:cs="Times New Roman"/>
          <w:sz w:val="24"/>
          <w:szCs w:val="24"/>
        </w:rPr>
        <w:t>znak handlowy i</w:t>
      </w:r>
      <w:r w:rsidRPr="00744027">
        <w:rPr>
          <w:rFonts w:ascii="Times New Roman" w:hAnsi="Times New Roman" w:cs="Times New Roman"/>
          <w:sz w:val="24"/>
          <w:szCs w:val="24"/>
        </w:rPr>
        <w:t xml:space="preserve"> inn</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oznaczeniem umożliwiając</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identyfikację wytwórcy lub dostawcy,</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znak budowlany „B”,</w:t>
      </w:r>
    </w:p>
    <w:p w:rsidR="00C35FD6"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aprobaty technicznej IBDiM,</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certyfikatu zgodności i numer jednostki certyfikującej.</w:t>
      </w:r>
    </w:p>
    <w:p w:rsidR="00C35FD6" w:rsidRDefault="00FA20D7"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w:t>
      </w:r>
      <w:proofErr w:type="spellStart"/>
      <w:r w:rsidRPr="00744027">
        <w:rPr>
          <w:rFonts w:ascii="Times New Roman" w:hAnsi="Times New Roman" w:cs="Times New Roman"/>
          <w:sz w:val="24"/>
          <w:szCs w:val="24"/>
        </w:rPr>
        <w:t>nieodblaskowej</w:t>
      </w:r>
      <w:proofErr w:type="spellEnd"/>
      <w:r w:rsidRPr="00744027">
        <w:rPr>
          <w:rFonts w:ascii="Times New Roman" w:hAnsi="Times New Roman" w:cs="Times New Roman"/>
          <w:sz w:val="24"/>
          <w:szCs w:val="24"/>
        </w:rPr>
        <w:t>.</w:t>
      </w:r>
    </w:p>
    <w:p w:rsidR="00CE5D6C" w:rsidRDefault="00CE5D6C" w:rsidP="007712CD">
      <w:pPr>
        <w:pStyle w:val="Zwykytekst"/>
        <w:ind w:firstLine="227"/>
        <w:contextualSpacing/>
        <w:jc w:val="both"/>
        <w:rPr>
          <w:rFonts w:ascii="Times New Roman" w:hAnsi="Times New Roman" w:cs="Times New Roman"/>
          <w:sz w:val="24"/>
          <w:szCs w:val="24"/>
        </w:rPr>
      </w:pPr>
    </w:p>
    <w:p w:rsidR="00CE5D6C" w:rsidRPr="00744027" w:rsidRDefault="00CE5D6C" w:rsidP="007712CD">
      <w:pPr>
        <w:pStyle w:val="Zwykytekst"/>
        <w:ind w:firstLine="227"/>
        <w:contextualSpacing/>
        <w:jc w:val="both"/>
        <w:rPr>
          <w:rFonts w:ascii="Times New Roman" w:hAnsi="Times New Roman" w:cs="Times New Roman"/>
          <w:sz w:val="24"/>
          <w:szCs w:val="24"/>
        </w:rPr>
      </w:pPr>
    </w:p>
    <w:p w:rsidR="000D0A98" w:rsidRPr="00744027" w:rsidRDefault="000D0A98" w:rsidP="00744027">
      <w:pPr>
        <w:contextualSpacing/>
        <w:rPr>
          <w:b/>
          <w:sz w:val="24"/>
          <w:szCs w:val="24"/>
        </w:rPr>
      </w:pPr>
    </w:p>
    <w:p w:rsidR="000D0A98" w:rsidRPr="008F43E1" w:rsidRDefault="000D0A98" w:rsidP="008F43E1">
      <w:pPr>
        <w:pStyle w:val="Nagwek2"/>
        <w:numPr>
          <w:ilvl w:val="1"/>
          <w:numId w:val="32"/>
        </w:numPr>
        <w:tabs>
          <w:tab w:val="left" w:pos="450"/>
          <w:tab w:val="left" w:pos="630"/>
        </w:tabs>
        <w:ind w:left="0" w:firstLine="0"/>
        <w:contextualSpacing/>
        <w:rPr>
          <w:szCs w:val="24"/>
        </w:rPr>
      </w:pPr>
      <w:r w:rsidRPr="008F43E1">
        <w:rPr>
          <w:szCs w:val="24"/>
        </w:rPr>
        <w:lastRenderedPageBreak/>
        <w:t>Tablicowe znaki drogowe na dwóch słupach lub podporach</w:t>
      </w:r>
    </w:p>
    <w:p w:rsidR="000D0A98" w:rsidRPr="00744027" w:rsidRDefault="000D0A98" w:rsidP="00744027">
      <w:pPr>
        <w:pStyle w:val="Zwykytekst"/>
        <w:contextualSpacing/>
        <w:jc w:val="both"/>
        <w:rPr>
          <w:rFonts w:ascii="Times New Roman" w:hAnsi="Times New Roman" w:cs="Times New Roman"/>
          <w:sz w:val="24"/>
          <w:szCs w:val="24"/>
        </w:rPr>
      </w:pPr>
    </w:p>
    <w:p w:rsidR="000D0A98" w:rsidRPr="00744027" w:rsidRDefault="000D0A98" w:rsidP="007712CD">
      <w:pPr>
        <w:pStyle w:val="Zwykytekst"/>
        <w:ind w:firstLine="270"/>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D36EAD" w:rsidRPr="00744027" w:rsidRDefault="00D36EAD" w:rsidP="00744027">
      <w:pPr>
        <w:pStyle w:val="Zwykytekst"/>
        <w:contextualSpacing/>
        <w:jc w:val="both"/>
        <w:rPr>
          <w:rFonts w:ascii="Times New Roman" w:hAnsi="Times New Roman" w:cs="Times New Roman"/>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KONTROLA JAKOŚCI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kontroli jakości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Ogólne zasady kontroli jakośc</w:t>
      </w:r>
      <w:r w:rsidR="002776AE" w:rsidRPr="00744027">
        <w:rPr>
          <w:rFonts w:ascii="Times New Roman" w:hAnsi="Times New Roman" w:cs="Times New Roman"/>
          <w:sz w:val="24"/>
          <w:szCs w:val="24"/>
        </w:rPr>
        <w:t>i robót podano w Specyfikacji D</w:t>
      </w:r>
      <w:r w:rsidR="005854D2" w:rsidRPr="00744027">
        <w:rPr>
          <w:rFonts w:ascii="Times New Roman" w:hAnsi="Times New Roman" w:cs="Times New Roman"/>
          <w:sz w:val="24"/>
          <w:szCs w:val="24"/>
        </w:rPr>
        <w:t>M</w:t>
      </w:r>
      <w:r w:rsidRPr="00744027">
        <w:rPr>
          <w:rFonts w:ascii="Times New Roman" w:hAnsi="Times New Roman" w:cs="Times New Roman"/>
          <w:sz w:val="24"/>
          <w:szCs w:val="24"/>
        </w:rPr>
        <w:t>-00.00.00 "Wymagania Ogólne" punkt 5.</w:t>
      </w:r>
    </w:p>
    <w:p w:rsidR="00781BDE" w:rsidRPr="00744027" w:rsidRDefault="00781BDE" w:rsidP="00744027">
      <w:pPr>
        <w:pStyle w:val="Zwykytekst"/>
        <w:contextualSpacing/>
        <w:jc w:val="both"/>
        <w:rPr>
          <w:rFonts w:ascii="Times New Roman" w:hAnsi="Times New Roman" w:cs="Times New Roman"/>
          <w:sz w:val="24"/>
          <w:szCs w:val="24"/>
        </w:rPr>
      </w:pP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materiałów do wykonania fundamentów betonowych</w:t>
      </w:r>
    </w:p>
    <w:p w:rsidR="00C35FD6" w:rsidRPr="00744027" w:rsidRDefault="00C35FD6" w:rsidP="00744027">
      <w:pPr>
        <w:pStyle w:val="Zwykytekst"/>
        <w:contextualSpacing/>
        <w:jc w:val="both"/>
        <w:rPr>
          <w:rFonts w:ascii="Times New Roman" w:hAnsi="Times New Roman" w:cs="Times New Roman"/>
          <w:sz w:val="24"/>
          <w:szCs w:val="24"/>
        </w:rPr>
      </w:pPr>
    </w:p>
    <w:p w:rsidR="00FA20D7"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Wykonawca powinien przeprowadzić badania materiałów do wykonania fundamentów betonowych „na mokro”.</w:t>
      </w:r>
      <w:r w:rsidR="00FA20D7" w:rsidRPr="00744027">
        <w:rPr>
          <w:rFonts w:ascii="Times New Roman" w:hAnsi="Times New Roman" w:cs="Times New Roman"/>
          <w:sz w:val="24"/>
          <w:szCs w:val="24"/>
        </w:rPr>
        <w:t xml:space="preserve"> Uwzględniając nieskomplikowany charakter robót fundamentowych, na wniosek Wykonawcy, Inżynier może zwolnić go z potrzeby wykonania badań materiałów dla tych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w czasie wykonywania robót</w:t>
      </w:r>
    </w:p>
    <w:p w:rsidR="00C35FD6" w:rsidRPr="00744027" w:rsidRDefault="00C35FD6" w:rsidP="00744027">
      <w:pPr>
        <w:contextualSpacing/>
        <w:rPr>
          <w:sz w:val="24"/>
          <w:szCs w:val="24"/>
        </w:rPr>
      </w:pPr>
    </w:p>
    <w:p w:rsidR="00D72359" w:rsidRDefault="00C35FD6" w:rsidP="00D72359">
      <w:pPr>
        <w:pStyle w:val="Nagwek3"/>
        <w:numPr>
          <w:ilvl w:val="2"/>
          <w:numId w:val="32"/>
        </w:numPr>
        <w:ind w:left="0" w:firstLine="0"/>
        <w:contextualSpacing/>
        <w:rPr>
          <w:b w:val="0"/>
          <w:sz w:val="24"/>
          <w:szCs w:val="24"/>
        </w:rPr>
      </w:pPr>
      <w:r w:rsidRPr="008F43E1">
        <w:rPr>
          <w:b w:val="0"/>
          <w:sz w:val="24"/>
          <w:szCs w:val="24"/>
        </w:rPr>
        <w:t>Badania materiałów w czasie wykonywania robót</w:t>
      </w:r>
    </w:p>
    <w:p w:rsidR="00D72359" w:rsidRPr="00D72359" w:rsidRDefault="00D72359" w:rsidP="00D72359"/>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Wszystkie materiały dostarczone na budowę z aprobatą techniczną i z deklaracją zgodności wydaną przez producenta powinny być sprawdzone w zakresie powierzchni wyrobu i jego wymiarów.</w:t>
      </w:r>
      <w:r w:rsidR="002776AE" w:rsidRPr="00744027">
        <w:rPr>
          <w:rFonts w:ascii="Times New Roman" w:hAnsi="Times New Roman" w:cs="Times New Roman"/>
          <w:sz w:val="24"/>
          <w:szCs w:val="24"/>
        </w:rPr>
        <w:t xml:space="preserve"> </w:t>
      </w:r>
      <w:r w:rsidRPr="00744027">
        <w:rPr>
          <w:rFonts w:ascii="Times New Roman" w:hAnsi="Times New Roman" w:cs="Times New Roman"/>
          <w:sz w:val="24"/>
          <w:szCs w:val="24"/>
        </w:rPr>
        <w:t xml:space="preserve">Częstotliwość badań i ocena ich wyników powinna być zgodna z ustaleniami tablicy </w:t>
      </w:r>
      <w:r w:rsidR="00FA20D7" w:rsidRPr="00744027">
        <w:rPr>
          <w:rFonts w:ascii="Times New Roman" w:hAnsi="Times New Roman" w:cs="Times New Roman"/>
          <w:sz w:val="24"/>
          <w:szCs w:val="24"/>
        </w:rPr>
        <w:t>4</w:t>
      </w:r>
      <w:r w:rsidRPr="00744027">
        <w:rPr>
          <w:rFonts w:ascii="Times New Roman" w:hAnsi="Times New Roman" w:cs="Times New Roman"/>
          <w:sz w:val="24"/>
          <w:szCs w:val="24"/>
        </w:rPr>
        <w:t>.</w:t>
      </w:r>
    </w:p>
    <w:p w:rsidR="00C35FD6" w:rsidRDefault="00C35FD6" w:rsidP="00744027">
      <w:pPr>
        <w:contextualSpacing/>
        <w:rPr>
          <w:sz w:val="24"/>
          <w:szCs w:val="24"/>
        </w:rPr>
      </w:pPr>
    </w:p>
    <w:p w:rsidR="00C35FD6" w:rsidRPr="00D72359" w:rsidRDefault="00C35FD6" w:rsidP="00D72359">
      <w:pPr>
        <w:contextualSpacing/>
        <w:jc w:val="center"/>
        <w:rPr>
          <w:b/>
          <w:sz w:val="20"/>
        </w:rPr>
      </w:pPr>
      <w:r w:rsidRPr="00D72359">
        <w:rPr>
          <w:b/>
          <w:sz w:val="20"/>
        </w:rPr>
        <w:t xml:space="preserve">Tablica </w:t>
      </w:r>
      <w:r w:rsidR="00FA20D7" w:rsidRPr="00D72359">
        <w:rPr>
          <w:b/>
          <w:sz w:val="20"/>
        </w:rPr>
        <w:t>4</w:t>
      </w:r>
      <w:r w:rsidRPr="00D72359">
        <w:rPr>
          <w:b/>
          <w:sz w:val="20"/>
        </w:rPr>
        <w:t>. Częstotliwość badań przy sprawdzeniu powierzchni i wymiarów wyrobów dostarczonych przez producentów</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9"/>
        <w:gridCol w:w="1878"/>
        <w:gridCol w:w="3934"/>
        <w:gridCol w:w="1768"/>
      </w:tblGrid>
      <w:tr w:rsidR="00C35FD6" w:rsidRPr="00D72359">
        <w:trPr>
          <w:jc w:val="center"/>
        </w:trPr>
        <w:tc>
          <w:tcPr>
            <w:tcW w:w="1559" w:type="dxa"/>
            <w:tcBorders>
              <w:top w:val="double" w:sz="4" w:space="0" w:color="auto"/>
              <w:left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Rodzaj badań</w:t>
            </w:r>
          </w:p>
        </w:tc>
        <w:tc>
          <w:tcPr>
            <w:tcW w:w="1878"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Liczba badań</w:t>
            </w:r>
          </w:p>
        </w:tc>
        <w:tc>
          <w:tcPr>
            <w:tcW w:w="3934"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Opis badań</w:t>
            </w:r>
          </w:p>
        </w:tc>
        <w:tc>
          <w:tcPr>
            <w:tcW w:w="1768" w:type="dxa"/>
            <w:tcBorders>
              <w:top w:val="double" w:sz="4" w:space="0" w:color="auto"/>
              <w:bottom w:val="double" w:sz="4" w:space="0" w:color="auto"/>
              <w:right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Ocena wyników badań</w:t>
            </w:r>
          </w:p>
        </w:tc>
      </w:tr>
      <w:tr w:rsidR="00C35FD6" w:rsidRPr="00D72359">
        <w:trPr>
          <w:cantSplit/>
          <w:jc w:val="center"/>
        </w:trPr>
        <w:tc>
          <w:tcPr>
            <w:tcW w:w="1559" w:type="dxa"/>
            <w:tcBorders>
              <w:top w:val="double" w:sz="4" w:space="0" w:color="auto"/>
              <w:lef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powierzchni</w:t>
            </w:r>
          </w:p>
        </w:tc>
        <w:tc>
          <w:tcPr>
            <w:tcW w:w="1878" w:type="dxa"/>
            <w:vMerge w:val="restart"/>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Od 5 do 10 badań z wybranych losowo elementów w każdej dostarczonej partii wyrobów liczącej do 1000 elementów</w:t>
            </w:r>
          </w:p>
        </w:tc>
        <w:tc>
          <w:tcPr>
            <w:tcW w:w="3934" w:type="dxa"/>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Powierzchnię zbadać nieuzbrojonym okiem. Do ew. sprawdzenia głębokości wad użyć dostępnych narzędzi (np. liniałów z czujnikiem, suwmiarek, mikrometrów itp.)</w:t>
            </w:r>
          </w:p>
        </w:tc>
        <w:tc>
          <w:tcPr>
            <w:tcW w:w="1768" w:type="dxa"/>
            <w:vMerge w:val="restart"/>
            <w:tcBorders>
              <w:top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Wyniki badań powinny być zgodne z wymaganiami punku 2</w:t>
            </w:r>
          </w:p>
        </w:tc>
      </w:tr>
      <w:tr w:rsidR="00C35FD6" w:rsidRPr="00D72359">
        <w:trPr>
          <w:cantSplit/>
          <w:jc w:val="center"/>
        </w:trPr>
        <w:tc>
          <w:tcPr>
            <w:tcW w:w="1559" w:type="dxa"/>
            <w:tcBorders>
              <w:left w:val="double" w:sz="4" w:space="0" w:color="auto"/>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wymiarów</w:t>
            </w:r>
          </w:p>
        </w:tc>
        <w:tc>
          <w:tcPr>
            <w:tcW w:w="1878" w:type="dxa"/>
            <w:vMerge/>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c>
          <w:tcPr>
            <w:tcW w:w="3934" w:type="dxa"/>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Przeprowadzić uniwersalnymi przyrządami pomiarowymi lub sprawdzianami (np. liniałami, przymiarami itp.)</w:t>
            </w:r>
          </w:p>
        </w:tc>
        <w:tc>
          <w:tcPr>
            <w:tcW w:w="1768" w:type="dxa"/>
            <w:vMerge/>
            <w:tcBorders>
              <w:bottom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r>
    </w:tbl>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 przypadkach budzących wątpliwości  można zlecić  uprawnionej jednostce zbadanie właściwości dostarczonych wyrobów i materiałów w zakresie wymagań podanych w punkcie 2.</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8F43E1" w:rsidRDefault="00C35FD6" w:rsidP="008F43E1">
      <w:pPr>
        <w:pStyle w:val="Nagwek3"/>
        <w:numPr>
          <w:ilvl w:val="2"/>
          <w:numId w:val="32"/>
        </w:numPr>
        <w:ind w:left="0" w:firstLine="0"/>
        <w:contextualSpacing/>
        <w:rPr>
          <w:b w:val="0"/>
          <w:sz w:val="24"/>
          <w:szCs w:val="24"/>
        </w:rPr>
      </w:pPr>
      <w:r w:rsidRPr="008F43E1">
        <w:rPr>
          <w:b w:val="0"/>
          <w:sz w:val="24"/>
          <w:szCs w:val="24"/>
        </w:rPr>
        <w:t>Kontrola w czasie wykonywania robót</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 czasie wykonywania robót należy sprawdzać:</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zgodność wykonania znaków pionowych z Rysunkami (lokalizacja, wymiary, wysokość zamocowania znaków),</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zachowanie dopuszczalnych odchyłek wymiarów, zgodnie z punktem 2 i 5,</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prawidłowość wykonania wykopów pod konstrukcje wsporcze,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poprawność wykonania fundamentów pod słupki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647A4B" w:rsidRDefault="00C35FD6"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poprawność ustawienia słupków i konstrukcji wsporczych, zgodnie z punktem 5.</w:t>
      </w:r>
      <w:r w:rsidR="00FA20D7" w:rsidRPr="00647A4B">
        <w:rPr>
          <w:rFonts w:ascii="Times New Roman" w:hAnsi="Times New Roman" w:cs="Times New Roman"/>
          <w:sz w:val="24"/>
          <w:szCs w:val="24"/>
        </w:rPr>
        <w:t>4</w:t>
      </w:r>
      <w:r w:rsidRPr="00647A4B">
        <w:rPr>
          <w:rFonts w:ascii="Times New Roman" w:hAnsi="Times New Roman" w:cs="Times New Roman"/>
          <w:sz w:val="24"/>
          <w:szCs w:val="24"/>
        </w:rPr>
        <w:t>.</w:t>
      </w:r>
    </w:p>
    <w:p w:rsidR="00FA20D7" w:rsidRPr="00647A4B" w:rsidRDefault="00FA20D7"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zgodność i grubość blachy ze ST,</w:t>
      </w:r>
    </w:p>
    <w:p w:rsidR="00AF783B" w:rsidRDefault="00647A4B"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W przypadku wykonania spawanych złącz elementów konstrukcji wsporczych: − przed oględzinami, spoinę i przylegające do niej elementy łączone (od 10 do 20 mm z ka</w:t>
      </w:r>
      <w:r w:rsidR="0024041D">
        <w:rPr>
          <w:rFonts w:ascii="Times New Roman" w:hAnsi="Times New Roman" w:cs="Times New Roman"/>
          <w:sz w:val="24"/>
          <w:szCs w:val="24"/>
        </w:rPr>
        <w:t>ż</w:t>
      </w:r>
      <w:r w:rsidRPr="00647A4B">
        <w:rPr>
          <w:rFonts w:ascii="Times New Roman" w:hAnsi="Times New Roman" w:cs="Times New Roman"/>
          <w:sz w:val="24"/>
          <w:szCs w:val="24"/>
        </w:rPr>
        <w:t>dej strony) nale</w:t>
      </w:r>
      <w:r>
        <w:rPr>
          <w:rFonts w:ascii="Times New Roman" w:hAnsi="Times New Roman" w:cs="Times New Roman"/>
          <w:sz w:val="24"/>
          <w:szCs w:val="24"/>
        </w:rPr>
        <w:t>ż</w:t>
      </w:r>
      <w:r w:rsidRPr="00647A4B">
        <w:rPr>
          <w:rFonts w:ascii="Times New Roman" w:hAnsi="Times New Roman" w:cs="Times New Roman"/>
          <w:sz w:val="24"/>
          <w:szCs w:val="24"/>
        </w:rPr>
        <w:t>y dokładnie oczyścić z zanieczyszczeń utrudniających prowadzenie obserwacji i pomiarów, − oględziny złączy nale</w:t>
      </w:r>
      <w:r>
        <w:rPr>
          <w:rFonts w:ascii="Times New Roman" w:hAnsi="Times New Roman" w:cs="Times New Roman"/>
          <w:sz w:val="24"/>
          <w:szCs w:val="24"/>
        </w:rPr>
        <w:t>ż</w:t>
      </w:r>
      <w:r w:rsidRPr="00647A4B">
        <w:rPr>
          <w:rFonts w:ascii="Times New Roman" w:hAnsi="Times New Roman" w:cs="Times New Roman"/>
          <w:sz w:val="24"/>
          <w:szCs w:val="24"/>
        </w:rPr>
        <w:t>y przeprowadzić wizualnie z ewentualnym u</w:t>
      </w:r>
      <w:r>
        <w:rPr>
          <w:rFonts w:ascii="Times New Roman" w:hAnsi="Times New Roman" w:cs="Times New Roman"/>
          <w:sz w:val="24"/>
          <w:szCs w:val="24"/>
        </w:rPr>
        <w:t>ż</w:t>
      </w:r>
      <w:r w:rsidRPr="00647A4B">
        <w:rPr>
          <w:rFonts w:ascii="Times New Roman" w:hAnsi="Times New Roman" w:cs="Times New Roman"/>
          <w:sz w:val="24"/>
          <w:szCs w:val="24"/>
        </w:rPr>
        <w:t>yciem lupy o powiększeniu od 2 do 4 razy; do pomiarów spoin powinny być stosowane wzorniki, przymiary oraz uniwersalne spoinomierze, − w przypadkach wątpliwych mo</w:t>
      </w:r>
      <w:r>
        <w:rPr>
          <w:rFonts w:ascii="Times New Roman" w:hAnsi="Times New Roman" w:cs="Times New Roman"/>
          <w:sz w:val="24"/>
          <w:szCs w:val="24"/>
        </w:rPr>
        <w:t>ż</w:t>
      </w:r>
      <w:r w:rsidRPr="00647A4B">
        <w:rPr>
          <w:rFonts w:ascii="Times New Roman" w:hAnsi="Times New Roman" w:cs="Times New Roman"/>
          <w:sz w:val="24"/>
          <w:szCs w:val="24"/>
        </w:rPr>
        <w:t>na zlecić uprawnionej jednostce zbadanie wytrzymałości zmęczeniowej spoin, zgodnie z PN-M-06515 [18], − złącza o wadach większych ni</w:t>
      </w:r>
      <w:r w:rsidR="0024041D">
        <w:rPr>
          <w:rFonts w:ascii="Times New Roman" w:hAnsi="Times New Roman" w:cs="Times New Roman"/>
          <w:sz w:val="24"/>
          <w:szCs w:val="24"/>
        </w:rPr>
        <w:t>ż</w:t>
      </w:r>
      <w:r w:rsidRPr="00647A4B">
        <w:rPr>
          <w:rFonts w:ascii="Times New Roman" w:hAnsi="Times New Roman" w:cs="Times New Roman"/>
          <w:sz w:val="24"/>
          <w:szCs w:val="24"/>
        </w:rPr>
        <w:t xml:space="preserve"> dopuszczalne, określone w punkcie 5.5, powinny być naprawione powtórnym spawaniem.</w:t>
      </w:r>
    </w:p>
    <w:p w:rsidR="00CE5D6C" w:rsidRPr="00781BDE" w:rsidRDefault="00CE5D6C" w:rsidP="00CE5D6C">
      <w:pPr>
        <w:pStyle w:val="Zwykytekst"/>
        <w:ind w:left="720"/>
        <w:contextualSpacing/>
        <w:jc w:val="both"/>
        <w:rPr>
          <w:rFonts w:ascii="Times New Roman" w:hAnsi="Times New Roman" w:cs="Times New Roman"/>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OBMIAR ROBÓT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Ogólne warunki dotyczące obmiar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7.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Jednostką obmiaru jest:</w:t>
      </w:r>
    </w:p>
    <w:p w:rsidR="000D0A98" w:rsidRPr="00744027" w:rsidRDefault="00C35FD6" w:rsidP="00744027">
      <w:pPr>
        <w:numPr>
          <w:ilvl w:val="0"/>
          <w:numId w:val="1"/>
        </w:numPr>
        <w:ind w:left="709"/>
        <w:contextualSpacing/>
        <w:rPr>
          <w:sz w:val="24"/>
          <w:szCs w:val="24"/>
        </w:rPr>
      </w:pPr>
      <w:r w:rsidRPr="00744027">
        <w:rPr>
          <w:sz w:val="24"/>
          <w:szCs w:val="24"/>
        </w:rPr>
        <w:t xml:space="preserve">sztuka dla znaków konwencjonalnych (oddzielnie dla każdej </w:t>
      </w:r>
      <w:r w:rsidR="008F4C9C" w:rsidRPr="00744027">
        <w:rPr>
          <w:sz w:val="24"/>
          <w:szCs w:val="24"/>
        </w:rPr>
        <w:t>grupy wielkości</w:t>
      </w:r>
      <w:r w:rsidRPr="00744027">
        <w:rPr>
          <w:sz w:val="24"/>
          <w:szCs w:val="24"/>
        </w:rPr>
        <w:t>)</w:t>
      </w:r>
      <w:r w:rsidR="00A1418B" w:rsidRPr="00744027">
        <w:rPr>
          <w:sz w:val="24"/>
          <w:szCs w:val="24"/>
        </w:rPr>
        <w:t xml:space="preserve"> i tablic drogowskazowych</w:t>
      </w:r>
      <w:r w:rsidRPr="00744027">
        <w:rPr>
          <w:sz w:val="24"/>
          <w:szCs w:val="24"/>
        </w:rPr>
        <w:t>,</w:t>
      </w:r>
    </w:p>
    <w:p w:rsidR="00A84DD8" w:rsidRPr="00744027" w:rsidRDefault="00A84DD8" w:rsidP="00744027">
      <w:pPr>
        <w:numPr>
          <w:ilvl w:val="0"/>
          <w:numId w:val="1"/>
        </w:numPr>
        <w:ind w:left="709"/>
        <w:contextualSpacing/>
        <w:rPr>
          <w:sz w:val="24"/>
          <w:szCs w:val="24"/>
        </w:rPr>
      </w:pPr>
      <w:r w:rsidRPr="00744027">
        <w:rPr>
          <w:sz w:val="24"/>
          <w:szCs w:val="24"/>
        </w:rPr>
        <w:t>sztuka dla osłon energochłonnych lub zabezpieczaj</w:t>
      </w:r>
      <w:r w:rsidR="002A48C8" w:rsidRPr="00744027">
        <w:rPr>
          <w:sz w:val="24"/>
          <w:szCs w:val="24"/>
        </w:rPr>
        <w:t>ą</w:t>
      </w:r>
      <w:r w:rsidRPr="00744027">
        <w:rPr>
          <w:sz w:val="24"/>
          <w:szCs w:val="24"/>
        </w:rPr>
        <w:t>cych,</w:t>
      </w:r>
    </w:p>
    <w:p w:rsidR="00A84DD8" w:rsidRPr="00744027" w:rsidRDefault="00A84DD8" w:rsidP="00744027">
      <w:pPr>
        <w:numPr>
          <w:ilvl w:val="0"/>
          <w:numId w:val="1"/>
        </w:numPr>
        <w:ind w:left="709"/>
        <w:contextualSpacing/>
        <w:rPr>
          <w:sz w:val="24"/>
          <w:szCs w:val="24"/>
        </w:rPr>
      </w:pPr>
      <w:r w:rsidRPr="00744027">
        <w:rPr>
          <w:sz w:val="24"/>
          <w:szCs w:val="24"/>
        </w:rPr>
        <w:t>sztuka dla osłon przeciwolśnieniowych,</w:t>
      </w:r>
    </w:p>
    <w:p w:rsidR="000D0A98" w:rsidRPr="00744027" w:rsidRDefault="000D0A98" w:rsidP="00744027">
      <w:pPr>
        <w:numPr>
          <w:ilvl w:val="0"/>
          <w:numId w:val="29"/>
        </w:numPr>
        <w:contextualSpacing/>
        <w:rPr>
          <w:sz w:val="24"/>
          <w:szCs w:val="24"/>
        </w:rPr>
      </w:pPr>
      <w:r w:rsidRPr="00744027">
        <w:rPr>
          <w:sz w:val="24"/>
          <w:szCs w:val="24"/>
        </w:rPr>
        <w:t>sztuka dla elementu bezpieczeństwa ruchu drogowego</w:t>
      </w:r>
      <w:r w:rsidR="00A84DD8" w:rsidRPr="00744027">
        <w:rPr>
          <w:sz w:val="24"/>
          <w:szCs w:val="24"/>
        </w:rPr>
        <w:t>,</w:t>
      </w:r>
    </w:p>
    <w:p w:rsidR="00C35FD6" w:rsidRPr="00744027" w:rsidRDefault="008B5048" w:rsidP="00744027">
      <w:pPr>
        <w:numPr>
          <w:ilvl w:val="0"/>
          <w:numId w:val="1"/>
        </w:numPr>
        <w:ind w:left="709"/>
        <w:contextualSpacing/>
        <w:rPr>
          <w:sz w:val="24"/>
          <w:szCs w:val="24"/>
        </w:rPr>
      </w:pPr>
      <w:r w:rsidRPr="00744027">
        <w:rPr>
          <w:sz w:val="24"/>
          <w:szCs w:val="24"/>
        </w:rPr>
        <w:t>ryczałt dla oznakowania na czas budowy</w:t>
      </w:r>
      <w:r w:rsidR="00C35FD6" w:rsidRPr="00744027">
        <w:rPr>
          <w:sz w:val="24"/>
          <w:szCs w:val="24"/>
        </w:rPr>
        <w:t xml:space="preserve">. </w:t>
      </w:r>
    </w:p>
    <w:p w:rsidR="00C35FD6" w:rsidRPr="00744027" w:rsidRDefault="00C35FD6" w:rsidP="00744027">
      <w:pPr>
        <w:numPr>
          <w:ilvl w:val="12"/>
          <w:numId w:val="0"/>
        </w:num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ODBIÓR ROBÓT </w:t>
      </w:r>
    </w:p>
    <w:p w:rsidR="00C35FD6" w:rsidRPr="00744027" w:rsidRDefault="00C35FD6" w:rsidP="00744027">
      <w:pPr>
        <w:numPr>
          <w:ilvl w:val="12"/>
          <w:numId w:val="0"/>
        </w:numPr>
        <w:contextualSpacing/>
        <w:rPr>
          <w:sz w:val="24"/>
          <w:szCs w:val="24"/>
        </w:rPr>
      </w:pPr>
    </w:p>
    <w:p w:rsidR="00B9414A" w:rsidRPr="00744027" w:rsidRDefault="00C35FD6" w:rsidP="00744027">
      <w:pPr>
        <w:contextualSpacing/>
        <w:rPr>
          <w:sz w:val="24"/>
          <w:szCs w:val="24"/>
        </w:rPr>
      </w:pPr>
      <w:r w:rsidRPr="00744027">
        <w:rPr>
          <w:sz w:val="24"/>
          <w:szCs w:val="24"/>
        </w:rPr>
        <w:t>Ogólne warunki dotyczące odbior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8. </w:t>
      </w:r>
    </w:p>
    <w:p w:rsidR="00B9414A" w:rsidRPr="00744027" w:rsidRDefault="00B9414A" w:rsidP="00744027">
      <w:pPr>
        <w:contextualSpacing/>
        <w:rPr>
          <w:sz w:val="24"/>
          <w:szCs w:val="24"/>
        </w:rPr>
      </w:pPr>
    </w:p>
    <w:p w:rsidR="00C35FD6" w:rsidRPr="00744027" w:rsidRDefault="00FA20D7" w:rsidP="00744027">
      <w:pPr>
        <w:numPr>
          <w:ilvl w:val="12"/>
          <w:numId w:val="0"/>
        </w:numPr>
        <w:contextualSpacing/>
        <w:rPr>
          <w:sz w:val="24"/>
          <w:szCs w:val="24"/>
        </w:rPr>
      </w:pPr>
      <w:r w:rsidRPr="00744027">
        <w:rPr>
          <w:sz w:val="24"/>
          <w:szCs w:val="24"/>
        </w:rPr>
        <w:t>Roboty uznaje się za wykonane zgodnie z dokumentacją projektową, SST i wymaganiami Inżyniera, jeżeli wszystkie pomiary i badania z zachowaniem tolerancji wg pkt 6, dały wyniki pozytywne</w:t>
      </w:r>
      <w:r w:rsidR="00B9414A" w:rsidRPr="00744027">
        <w:rPr>
          <w:sz w:val="24"/>
          <w:szCs w:val="24"/>
        </w:rPr>
        <w:t>.</w:t>
      </w:r>
    </w:p>
    <w:p w:rsidR="00A90F16" w:rsidRPr="00744027" w:rsidRDefault="00A90F16" w:rsidP="00744027">
      <w:pPr>
        <w:numPr>
          <w:ilvl w:val="12"/>
          <w:numId w:val="0"/>
        </w:numPr>
        <w:contextualSpacing/>
        <w:rPr>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 xml:space="preserve">PODSTAWA PŁATNOŚCI </w:t>
      </w:r>
    </w:p>
    <w:p w:rsidR="00C35FD6" w:rsidRPr="00744027" w:rsidRDefault="00C35FD6" w:rsidP="00744027">
      <w:pPr>
        <w:numPr>
          <w:ilvl w:val="12"/>
          <w:numId w:val="0"/>
        </w:numPr>
        <w:contextualSpacing/>
        <w:rPr>
          <w:sz w:val="24"/>
          <w:szCs w:val="24"/>
        </w:rPr>
      </w:pPr>
    </w:p>
    <w:p w:rsidR="00C35FD6" w:rsidRPr="00744027" w:rsidRDefault="00C35FD6" w:rsidP="00910643">
      <w:pPr>
        <w:contextualSpacing/>
        <w:rPr>
          <w:sz w:val="24"/>
          <w:szCs w:val="24"/>
        </w:rPr>
      </w:pPr>
      <w:r w:rsidRPr="00744027">
        <w:rPr>
          <w:sz w:val="24"/>
          <w:szCs w:val="24"/>
        </w:rPr>
        <w:t>Ogólne warunki dotyczące podstawy pł</w:t>
      </w:r>
      <w:r w:rsidR="002776AE" w:rsidRPr="00744027">
        <w:rPr>
          <w:sz w:val="24"/>
          <w:szCs w:val="24"/>
        </w:rPr>
        <w:t>atności podane są w rozdziale D</w:t>
      </w:r>
      <w:r w:rsidR="005854D2" w:rsidRPr="00744027">
        <w:rPr>
          <w:sz w:val="24"/>
          <w:szCs w:val="24"/>
        </w:rPr>
        <w:t>M</w:t>
      </w:r>
      <w:r w:rsidRPr="00744027">
        <w:rPr>
          <w:sz w:val="24"/>
          <w:szCs w:val="24"/>
        </w:rPr>
        <w:t xml:space="preserve">-00.00.00 „Wymagania Ogólne” punkt 9. </w:t>
      </w:r>
    </w:p>
    <w:p w:rsidR="00C35FD6" w:rsidRPr="00744027" w:rsidRDefault="00C35FD6" w:rsidP="00744027">
      <w:pPr>
        <w:numPr>
          <w:ilvl w:val="12"/>
          <w:numId w:val="0"/>
        </w:numPr>
        <w:contextualSpacing/>
        <w:rPr>
          <w:sz w:val="24"/>
          <w:szCs w:val="24"/>
        </w:rPr>
      </w:pPr>
      <w:r w:rsidRPr="00744027">
        <w:rPr>
          <w:sz w:val="24"/>
          <w:szCs w:val="24"/>
        </w:rPr>
        <w:t xml:space="preserve">Cena wykonanego oznakowania pionowego obejmuje: </w:t>
      </w:r>
    </w:p>
    <w:p w:rsidR="00C35FD6" w:rsidRPr="00744027" w:rsidRDefault="00C35FD6" w:rsidP="00744027">
      <w:pPr>
        <w:numPr>
          <w:ilvl w:val="0"/>
          <w:numId w:val="1"/>
        </w:numPr>
        <w:contextualSpacing/>
        <w:rPr>
          <w:sz w:val="24"/>
          <w:szCs w:val="24"/>
        </w:rPr>
      </w:pPr>
      <w:r w:rsidRPr="00744027">
        <w:rPr>
          <w:sz w:val="24"/>
          <w:szCs w:val="24"/>
        </w:rPr>
        <w:t xml:space="preserve">prace pomiarowe, </w:t>
      </w:r>
    </w:p>
    <w:p w:rsidR="00C35FD6" w:rsidRPr="00744027" w:rsidRDefault="00C35FD6" w:rsidP="00744027">
      <w:pPr>
        <w:numPr>
          <w:ilvl w:val="0"/>
          <w:numId w:val="1"/>
        </w:numPr>
        <w:contextualSpacing/>
        <w:rPr>
          <w:sz w:val="24"/>
          <w:szCs w:val="24"/>
        </w:rPr>
      </w:pPr>
      <w:r w:rsidRPr="00744027">
        <w:rPr>
          <w:sz w:val="24"/>
          <w:szCs w:val="24"/>
        </w:rPr>
        <w:t>roboty przygotowawcze,</w:t>
      </w:r>
    </w:p>
    <w:p w:rsidR="00696743" w:rsidRPr="00744027" w:rsidRDefault="00696743" w:rsidP="00744027">
      <w:pPr>
        <w:numPr>
          <w:ilvl w:val="0"/>
          <w:numId w:val="1"/>
        </w:numPr>
        <w:contextualSpacing/>
        <w:rPr>
          <w:sz w:val="24"/>
          <w:szCs w:val="24"/>
        </w:rPr>
      </w:pPr>
      <w:r w:rsidRPr="00744027">
        <w:rPr>
          <w:sz w:val="24"/>
          <w:szCs w:val="24"/>
        </w:rPr>
        <w:t xml:space="preserve">wykonanie projektów konstrukcji wsporczych </w:t>
      </w:r>
      <w:r w:rsidR="0068790B" w:rsidRPr="00744027">
        <w:rPr>
          <w:sz w:val="24"/>
          <w:szCs w:val="24"/>
        </w:rPr>
        <w:t>oraz</w:t>
      </w:r>
      <w:r w:rsidRPr="00744027">
        <w:rPr>
          <w:sz w:val="24"/>
          <w:szCs w:val="24"/>
        </w:rPr>
        <w:t xml:space="preserve"> bramownic dla oznakowania pionowego,</w:t>
      </w:r>
    </w:p>
    <w:p w:rsidR="003F1BC6" w:rsidRPr="00744027" w:rsidRDefault="003F1BC6" w:rsidP="00744027">
      <w:pPr>
        <w:pStyle w:val="Akapitzlist"/>
        <w:widowControl w:val="0"/>
        <w:numPr>
          <w:ilvl w:val="0"/>
          <w:numId w:val="1"/>
        </w:numPr>
        <w:rPr>
          <w:sz w:val="24"/>
          <w:szCs w:val="24"/>
        </w:rPr>
      </w:pPr>
      <w:r w:rsidRPr="00744027">
        <w:rPr>
          <w:sz w:val="24"/>
          <w:szCs w:val="24"/>
        </w:rPr>
        <w:t xml:space="preserve">uzyskanie zatwierdzenia i aktualizację Projektu Docelowej Organizacji Ruchu w przypadku zmiany lokalizacji </w:t>
      </w:r>
      <w:r w:rsidR="00370D50" w:rsidRPr="00744027">
        <w:rPr>
          <w:sz w:val="24"/>
          <w:szCs w:val="24"/>
        </w:rPr>
        <w:t xml:space="preserve">lub treści: </w:t>
      </w:r>
      <w:r w:rsidRPr="00744027">
        <w:rPr>
          <w:sz w:val="24"/>
          <w:szCs w:val="24"/>
        </w:rPr>
        <w:t>słupków</w:t>
      </w:r>
      <w:r w:rsidR="00370D50" w:rsidRPr="00744027">
        <w:rPr>
          <w:sz w:val="24"/>
          <w:szCs w:val="24"/>
        </w:rPr>
        <w:t>,</w:t>
      </w:r>
      <w:r w:rsidRPr="00744027">
        <w:rPr>
          <w:sz w:val="24"/>
          <w:szCs w:val="24"/>
        </w:rPr>
        <w:t xml:space="preserve"> znaków</w:t>
      </w:r>
      <w:r w:rsidR="00370D50" w:rsidRPr="00744027">
        <w:rPr>
          <w:sz w:val="24"/>
          <w:szCs w:val="24"/>
        </w:rPr>
        <w:t>,</w:t>
      </w:r>
      <w:r w:rsidRPr="00744027">
        <w:rPr>
          <w:sz w:val="24"/>
          <w:szCs w:val="24"/>
        </w:rPr>
        <w:t xml:space="preserve"> </w:t>
      </w:r>
      <w:r w:rsidR="00370D50" w:rsidRPr="00744027">
        <w:rPr>
          <w:sz w:val="24"/>
          <w:szCs w:val="24"/>
        </w:rPr>
        <w:t xml:space="preserve">tablic drogowych </w:t>
      </w:r>
      <w:r w:rsidRPr="00744027">
        <w:rPr>
          <w:sz w:val="24"/>
          <w:szCs w:val="24"/>
        </w:rPr>
        <w:t xml:space="preserve">w </w:t>
      </w:r>
      <w:r w:rsidRPr="00744027">
        <w:rPr>
          <w:sz w:val="24"/>
          <w:szCs w:val="24"/>
        </w:rPr>
        <w:lastRenderedPageBreak/>
        <w:t xml:space="preserve">stosunku do przedstawionych w Dokumentacji Projektowej, </w:t>
      </w:r>
    </w:p>
    <w:p w:rsidR="00C35FD6" w:rsidRPr="00744027" w:rsidRDefault="00B15D29" w:rsidP="00744027">
      <w:pPr>
        <w:numPr>
          <w:ilvl w:val="0"/>
          <w:numId w:val="1"/>
        </w:numPr>
        <w:contextualSpacing/>
        <w:rPr>
          <w:sz w:val="24"/>
          <w:szCs w:val="24"/>
        </w:rPr>
      </w:pPr>
      <w:r w:rsidRPr="00744027">
        <w:rPr>
          <w:sz w:val="24"/>
          <w:szCs w:val="24"/>
        </w:rPr>
        <w:t xml:space="preserve">zakup i </w:t>
      </w:r>
      <w:r w:rsidR="00C35FD6" w:rsidRPr="00744027">
        <w:rPr>
          <w:sz w:val="24"/>
          <w:szCs w:val="24"/>
        </w:rPr>
        <w:t>dostarczenie materiałów,</w:t>
      </w:r>
    </w:p>
    <w:p w:rsidR="00C35FD6" w:rsidRPr="00744027" w:rsidRDefault="00C35FD6" w:rsidP="00744027">
      <w:pPr>
        <w:numPr>
          <w:ilvl w:val="0"/>
          <w:numId w:val="1"/>
        </w:numPr>
        <w:contextualSpacing/>
        <w:rPr>
          <w:sz w:val="24"/>
          <w:szCs w:val="24"/>
        </w:rPr>
      </w:pPr>
      <w:r w:rsidRPr="00744027">
        <w:rPr>
          <w:sz w:val="24"/>
          <w:szCs w:val="24"/>
        </w:rPr>
        <w:t xml:space="preserve">wykonanie fundamentów, </w:t>
      </w:r>
    </w:p>
    <w:p w:rsidR="00C35FD6" w:rsidRPr="00744027" w:rsidRDefault="00C35FD6" w:rsidP="00744027">
      <w:pPr>
        <w:numPr>
          <w:ilvl w:val="0"/>
          <w:numId w:val="1"/>
        </w:numPr>
        <w:contextualSpacing/>
        <w:rPr>
          <w:sz w:val="24"/>
          <w:szCs w:val="24"/>
        </w:rPr>
      </w:pPr>
      <w:r w:rsidRPr="00744027">
        <w:rPr>
          <w:sz w:val="24"/>
          <w:szCs w:val="24"/>
        </w:rPr>
        <w:t>ustawienie słupków</w:t>
      </w:r>
      <w:r w:rsidR="0068790B" w:rsidRPr="00744027">
        <w:rPr>
          <w:sz w:val="24"/>
          <w:szCs w:val="24"/>
        </w:rPr>
        <w:t>, konstrukcji wsporczych oraz bramownic,</w:t>
      </w:r>
    </w:p>
    <w:p w:rsidR="00C35FD6" w:rsidRPr="00744027" w:rsidRDefault="00C35FD6" w:rsidP="00744027">
      <w:pPr>
        <w:numPr>
          <w:ilvl w:val="0"/>
          <w:numId w:val="1"/>
        </w:numPr>
        <w:contextualSpacing/>
        <w:rPr>
          <w:sz w:val="24"/>
          <w:szCs w:val="24"/>
        </w:rPr>
      </w:pPr>
      <w:r w:rsidRPr="00744027">
        <w:rPr>
          <w:sz w:val="24"/>
          <w:szCs w:val="24"/>
        </w:rPr>
        <w:t>zamocowanie znaków, tablic drogowskazowych i przeddrogowskazowych,</w:t>
      </w:r>
      <w:r w:rsidR="003B27E7" w:rsidRPr="00744027">
        <w:rPr>
          <w:sz w:val="24"/>
          <w:szCs w:val="24"/>
        </w:rPr>
        <w:t xml:space="preserve"> pachołków</w:t>
      </w:r>
      <w:r w:rsidR="008408EA" w:rsidRPr="00744027">
        <w:rPr>
          <w:sz w:val="24"/>
          <w:szCs w:val="24"/>
        </w:rPr>
        <w:t>,</w:t>
      </w:r>
      <w:r w:rsidR="00A46D1D" w:rsidRPr="00744027">
        <w:rPr>
          <w:sz w:val="24"/>
          <w:szCs w:val="24"/>
        </w:rPr>
        <w:t xml:space="preserve"> urządzeń bezpieczeństwa ruchu,</w:t>
      </w:r>
      <w:r w:rsidR="008408EA" w:rsidRPr="00744027">
        <w:rPr>
          <w:sz w:val="24"/>
          <w:szCs w:val="24"/>
        </w:rPr>
        <w:t xml:space="preserve"> osłon przeciwolśnieniowych oraz osłon energochłonnych lub zabezpieczających,</w:t>
      </w:r>
    </w:p>
    <w:p w:rsidR="00C35FD6" w:rsidRPr="00744027" w:rsidRDefault="00C35FD6" w:rsidP="00744027">
      <w:pPr>
        <w:numPr>
          <w:ilvl w:val="0"/>
          <w:numId w:val="1"/>
        </w:numPr>
        <w:contextualSpacing/>
        <w:rPr>
          <w:sz w:val="24"/>
          <w:szCs w:val="24"/>
        </w:rPr>
      </w:pPr>
      <w:r w:rsidRPr="00744027">
        <w:rPr>
          <w:sz w:val="24"/>
          <w:szCs w:val="24"/>
        </w:rPr>
        <w:t>uporządkowanie terenu,</w:t>
      </w:r>
    </w:p>
    <w:p w:rsidR="003D195F" w:rsidRPr="00744027" w:rsidRDefault="00C35FD6" w:rsidP="00744027">
      <w:pPr>
        <w:numPr>
          <w:ilvl w:val="0"/>
          <w:numId w:val="1"/>
        </w:numPr>
        <w:contextualSpacing/>
        <w:rPr>
          <w:sz w:val="24"/>
          <w:szCs w:val="24"/>
        </w:rPr>
      </w:pPr>
      <w:r w:rsidRPr="00744027">
        <w:rPr>
          <w:sz w:val="24"/>
          <w:szCs w:val="24"/>
        </w:rPr>
        <w:t>wykonanie pomiarów i badań wymaganych w ST</w:t>
      </w:r>
      <w:r w:rsidR="003D195F" w:rsidRPr="00744027">
        <w:rPr>
          <w:sz w:val="24"/>
          <w:szCs w:val="24"/>
        </w:rPr>
        <w:t>,</w:t>
      </w:r>
    </w:p>
    <w:p w:rsidR="00E5650E" w:rsidRPr="00744027" w:rsidRDefault="00E5650E" w:rsidP="00744027">
      <w:pPr>
        <w:numPr>
          <w:ilvl w:val="0"/>
          <w:numId w:val="1"/>
        </w:numPr>
        <w:contextualSpacing/>
        <w:rPr>
          <w:sz w:val="24"/>
          <w:szCs w:val="24"/>
        </w:rPr>
      </w:pPr>
      <w:r w:rsidRPr="00744027">
        <w:rPr>
          <w:sz w:val="24"/>
          <w:szCs w:val="24"/>
        </w:rPr>
        <w:t>wykonanie oznakowania na czas budowy</w:t>
      </w:r>
      <w:r w:rsidR="003723CD" w:rsidRPr="00744027">
        <w:rPr>
          <w:sz w:val="24"/>
          <w:szCs w:val="24"/>
        </w:rPr>
        <w:t xml:space="preserve"> (projekt, </w:t>
      </w:r>
      <w:r w:rsidR="003F1BC6" w:rsidRPr="00744027">
        <w:rPr>
          <w:sz w:val="24"/>
          <w:szCs w:val="24"/>
        </w:rPr>
        <w:t xml:space="preserve">zatwierdzenie projektu, </w:t>
      </w:r>
      <w:r w:rsidR="003723CD" w:rsidRPr="00744027">
        <w:rPr>
          <w:sz w:val="24"/>
          <w:szCs w:val="24"/>
        </w:rPr>
        <w:t>montaż, utrzymanie i demontaż)</w:t>
      </w:r>
      <w:r w:rsidRPr="00744027">
        <w:rPr>
          <w:sz w:val="24"/>
          <w:szCs w:val="24"/>
        </w:rPr>
        <w:t>,</w:t>
      </w:r>
    </w:p>
    <w:p w:rsidR="00C35FD6" w:rsidRDefault="003D195F" w:rsidP="00744027">
      <w:pPr>
        <w:numPr>
          <w:ilvl w:val="0"/>
          <w:numId w:val="1"/>
        </w:numPr>
        <w:contextualSpacing/>
        <w:rPr>
          <w:sz w:val="24"/>
          <w:szCs w:val="24"/>
        </w:rPr>
      </w:pPr>
      <w:r w:rsidRPr="00744027">
        <w:rPr>
          <w:sz w:val="24"/>
          <w:szCs w:val="24"/>
        </w:rPr>
        <w:t>inne niezbędne czynności związane bezpośrednio z wykonaniem oznakowania pionowego.</w:t>
      </w:r>
    </w:p>
    <w:p w:rsidR="00CE5D6C" w:rsidRDefault="00CE5D6C" w:rsidP="00CE5D6C">
      <w:pPr>
        <w:ind w:left="992"/>
        <w:contextualSpacing/>
        <w:rPr>
          <w:sz w:val="24"/>
          <w:szCs w:val="24"/>
        </w:rPr>
      </w:pPr>
    </w:p>
    <w:p w:rsidR="00C35FD6" w:rsidRPr="00226D00" w:rsidRDefault="00C35FD6" w:rsidP="00226D00">
      <w:pPr>
        <w:pStyle w:val="Akapitzlist"/>
        <w:numPr>
          <w:ilvl w:val="0"/>
          <w:numId w:val="32"/>
        </w:numPr>
        <w:tabs>
          <w:tab w:val="left" w:pos="450"/>
        </w:tabs>
        <w:ind w:left="270" w:hanging="270"/>
        <w:rPr>
          <w:b/>
          <w:sz w:val="24"/>
          <w:szCs w:val="24"/>
        </w:rPr>
      </w:pPr>
      <w:r w:rsidRPr="00226D00">
        <w:rPr>
          <w:b/>
          <w:sz w:val="24"/>
          <w:szCs w:val="24"/>
        </w:rPr>
        <w:t>PRZEPISY ZWIĄZANE</w:t>
      </w:r>
    </w:p>
    <w:p w:rsidR="00C35FD6" w:rsidRPr="00744027" w:rsidRDefault="00C35FD6" w:rsidP="00744027">
      <w:pPr>
        <w:contextualSpacing/>
        <w:rPr>
          <w:sz w:val="24"/>
          <w:szCs w:val="24"/>
        </w:rPr>
      </w:pP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PN-76/C-81521</w:t>
      </w:r>
      <w:r w:rsidRPr="00744027">
        <w:rPr>
          <w:rFonts w:ascii="Times New Roman" w:hAnsi="Times New Roman" w:cs="Times New Roman"/>
          <w:sz w:val="24"/>
          <w:szCs w:val="24"/>
        </w:rPr>
        <w:tab/>
        <w:t>Wyroby lakierowane - badanie odporności powłoki lakierowanej na działanie wody oraz oznaczanie nasiąkliwości</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PN-84/H-74220 </w:t>
      </w:r>
      <w:r w:rsidRPr="00744027">
        <w:rPr>
          <w:rFonts w:ascii="Times New Roman" w:hAnsi="Times New Roman" w:cs="Times New Roman"/>
          <w:sz w:val="24"/>
          <w:szCs w:val="24"/>
        </w:rPr>
        <w:tab/>
        <w:t>Rury stalowe bez szwu ciągnione i walcowane na zimno ogólnego zastosowania</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PN-88/C-81523 </w:t>
      </w:r>
      <w:r w:rsidRPr="00744027">
        <w:rPr>
          <w:rFonts w:ascii="Times New Roman" w:hAnsi="Times New Roman" w:cs="Times New Roman"/>
          <w:sz w:val="24"/>
          <w:szCs w:val="24"/>
        </w:rPr>
        <w:tab/>
        <w:t>Wyroby lakierowane - Oznaczanie odporności powłoki na działanie mgły solnej</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PN-89/H-84023</w:t>
      </w:r>
      <w:r w:rsidR="004347D0">
        <w:rPr>
          <w:rFonts w:ascii="Times New Roman" w:hAnsi="Times New Roman" w:cs="Times New Roman"/>
          <w:sz w:val="24"/>
          <w:szCs w:val="24"/>
        </w:rPr>
        <w:t>-</w:t>
      </w:r>
      <w:r w:rsidR="00AF783B">
        <w:rPr>
          <w:rFonts w:ascii="Times New Roman" w:hAnsi="Times New Roman" w:cs="Times New Roman"/>
          <w:sz w:val="24"/>
          <w:szCs w:val="24"/>
        </w:rPr>
        <w:t xml:space="preserve">07 </w:t>
      </w:r>
      <w:r w:rsidRPr="00744027">
        <w:rPr>
          <w:rFonts w:ascii="Times New Roman" w:hAnsi="Times New Roman" w:cs="Times New Roman"/>
          <w:sz w:val="24"/>
          <w:szCs w:val="24"/>
        </w:rPr>
        <w:t xml:space="preserve">Stal określonego zastosowania. Stal na rury. Gatunki </w:t>
      </w:r>
    </w:p>
    <w:p w:rsidR="00B9414A"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PN-B-03215: 1998 </w:t>
      </w:r>
      <w:r w:rsidR="00B9414A" w:rsidRPr="00744027">
        <w:rPr>
          <w:rFonts w:ascii="Times New Roman" w:hAnsi="Times New Roman" w:cs="Times New Roman"/>
          <w:sz w:val="24"/>
          <w:szCs w:val="24"/>
        </w:rPr>
        <w:t xml:space="preserve">Konstrukcje stalowe - Połączenia z fundamentami </w:t>
      </w:r>
      <w:r w:rsidR="00B9414A" w:rsidRPr="00744027">
        <w:rPr>
          <w:rFonts w:ascii="Times New Roman" w:hAnsi="Times New Roman" w:cs="Times New Roman"/>
          <w:sz w:val="24"/>
          <w:szCs w:val="24"/>
        </w:rPr>
        <w:softHyphen/>
        <w:t>Projektowanie i wykonanie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PN-B-03264:2002 </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Konstrukcje betonowe, żelbetowe. Obliczenia statyczne i projektowanie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206-1 :20</w:t>
      </w:r>
      <w:r w:rsidR="005D4976">
        <w:rPr>
          <w:rFonts w:ascii="Times New Roman" w:hAnsi="Times New Roman" w:cs="Times New Roman"/>
          <w:sz w:val="24"/>
          <w:szCs w:val="24"/>
        </w:rPr>
        <w:t>14</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Beton Część l: Wymagania, właściwości, produkcja i zgodność</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485-4:1997 </w:t>
      </w:r>
      <w:r w:rsidR="000E241E" w:rsidRPr="00744027">
        <w:rPr>
          <w:rFonts w:ascii="Times New Roman" w:hAnsi="Times New Roman" w:cs="Times New Roman"/>
          <w:sz w:val="24"/>
          <w:szCs w:val="24"/>
        </w:rPr>
        <w:t>Aluminium i stopy aluminium - Blachy, taśmy i płyty</w:t>
      </w:r>
      <w:r w:rsidR="00ED58C8" w:rsidRPr="00744027">
        <w:rPr>
          <w:rFonts w:ascii="Times New Roman" w:hAnsi="Times New Roman" w:cs="Times New Roman"/>
          <w:sz w:val="24"/>
          <w:szCs w:val="24"/>
        </w:rPr>
        <w:t xml:space="preserve">. </w:t>
      </w:r>
      <w:r w:rsidR="000E241E" w:rsidRPr="00744027">
        <w:rPr>
          <w:rFonts w:ascii="Times New Roman" w:hAnsi="Times New Roman" w:cs="Times New Roman"/>
          <w:sz w:val="24"/>
          <w:szCs w:val="24"/>
        </w:rPr>
        <w:t>Tolerancje kształtu i wymiarów wyrobów walcowanych na zimno</w:t>
      </w:r>
    </w:p>
    <w:p w:rsidR="000E241E"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1461:20</w:t>
      </w:r>
      <w:r w:rsidR="006522F2">
        <w:rPr>
          <w:rFonts w:ascii="Times New Roman" w:hAnsi="Times New Roman" w:cs="Times New Roman"/>
          <w:sz w:val="24"/>
          <w:szCs w:val="24"/>
        </w:rPr>
        <w:t>11</w:t>
      </w:r>
      <w:r w:rsidRPr="00744027">
        <w:rPr>
          <w:rFonts w:ascii="Times New Roman" w:hAnsi="Times New Roman" w:cs="Times New Roman"/>
          <w:sz w:val="24"/>
          <w:szCs w:val="24"/>
        </w:rPr>
        <w:tab/>
      </w:r>
      <w:r w:rsidR="000E241E" w:rsidRPr="00744027">
        <w:rPr>
          <w:rFonts w:ascii="Times New Roman" w:hAnsi="Times New Roman" w:cs="Times New Roman"/>
          <w:sz w:val="24"/>
          <w:szCs w:val="24"/>
        </w:rPr>
        <w:t>Powłoki cynkowe nanoszone na stal metodą zanurzeniową (cynkowanie jednostkowe) - Wymaganie i badanie</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10240:2001 </w:t>
      </w:r>
      <w:r w:rsidR="000E241E" w:rsidRPr="00744027">
        <w:rPr>
          <w:rFonts w:ascii="Times New Roman" w:hAnsi="Times New Roman" w:cs="Times New Roman"/>
          <w:sz w:val="24"/>
          <w:szCs w:val="24"/>
        </w:rPr>
        <w:t>Wewnętrzne i/lub zewnętrzne powłoki ochronne rur stalowych. Wymagania dotyczące powłok wykonanych przez cynkowanie ogniowe w ocynkowniach zautomatyzowanych</w:t>
      </w:r>
    </w:p>
    <w:p w:rsidR="000E241E" w:rsidRPr="00744027" w:rsidRDefault="000E241E" w:rsidP="00F44CF4">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103</w:t>
      </w:r>
      <w:r w:rsidR="00F44CF4">
        <w:rPr>
          <w:rFonts w:ascii="Times New Roman" w:hAnsi="Times New Roman" w:cs="Times New Roman"/>
          <w:sz w:val="24"/>
          <w:szCs w:val="24"/>
        </w:rPr>
        <w:t>46:2011</w:t>
      </w:r>
      <w:r w:rsidR="00AF783B">
        <w:rPr>
          <w:rFonts w:ascii="Times New Roman" w:hAnsi="Times New Roman" w:cs="Times New Roman"/>
          <w:sz w:val="24"/>
          <w:szCs w:val="24"/>
        </w:rPr>
        <w:t xml:space="preserve"> </w:t>
      </w:r>
      <w:r w:rsidR="00F44CF4" w:rsidRPr="00F44CF4">
        <w:rPr>
          <w:rFonts w:ascii="Times New Roman" w:hAnsi="Times New Roman" w:cs="Times New Roman"/>
          <w:sz w:val="24"/>
          <w:szCs w:val="24"/>
        </w:rPr>
        <w:t xml:space="preserve">Wyroby płaskie stalowe powlekane ogniowo w sposób ciągły </w:t>
      </w:r>
      <w:r w:rsidR="00F44CF4">
        <w:rPr>
          <w:rFonts w:ascii="Times New Roman" w:hAnsi="Times New Roman" w:cs="Times New Roman"/>
          <w:sz w:val="24"/>
          <w:szCs w:val="24"/>
        </w:rPr>
        <w:t xml:space="preserve">- </w:t>
      </w:r>
      <w:r w:rsidR="00F44CF4" w:rsidRPr="00F44CF4">
        <w:rPr>
          <w:rFonts w:ascii="Times New Roman" w:hAnsi="Times New Roman" w:cs="Times New Roman"/>
          <w:sz w:val="24"/>
          <w:szCs w:val="24"/>
        </w:rPr>
        <w:t>Warunki techniczne dostawy</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12767:2003 </w:t>
      </w:r>
      <w:r w:rsidR="000E241E" w:rsidRPr="00744027">
        <w:rPr>
          <w:rFonts w:ascii="Times New Roman" w:hAnsi="Times New Roman" w:cs="Times New Roman"/>
          <w:sz w:val="24"/>
          <w:szCs w:val="24"/>
        </w:rPr>
        <w:t>Bierne bezpieczeństwo konstrukcji wsporczych dla urządzeń drogowych. Wymagania i metody badań</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12899-1:20</w:t>
      </w:r>
      <w:r w:rsidR="005D4976">
        <w:rPr>
          <w:rFonts w:ascii="Times New Roman" w:hAnsi="Times New Roman" w:cs="Times New Roman"/>
          <w:sz w:val="24"/>
          <w:szCs w:val="24"/>
        </w:rPr>
        <w:t>10</w:t>
      </w:r>
      <w:r w:rsidR="00BB5935">
        <w:rPr>
          <w:rFonts w:ascii="Times New Roman" w:hAnsi="Times New Roman" w:cs="Times New Roman"/>
          <w:sz w:val="24"/>
          <w:szCs w:val="24"/>
        </w:rPr>
        <w:t xml:space="preserve"> </w:t>
      </w:r>
      <w:r w:rsidRPr="00744027">
        <w:rPr>
          <w:rFonts w:ascii="Times New Roman" w:hAnsi="Times New Roman" w:cs="Times New Roman"/>
          <w:sz w:val="24"/>
          <w:szCs w:val="24"/>
        </w:rPr>
        <w:t>Stałe, pionowe znaki drogowe - Część l: Znaki stałe</w:t>
      </w:r>
    </w:p>
    <w:p w:rsidR="000E241E" w:rsidRPr="00744027" w:rsidRDefault="00F80E88"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PN-</w:t>
      </w:r>
      <w:r w:rsidR="000E241E" w:rsidRPr="00744027">
        <w:rPr>
          <w:rFonts w:ascii="Times New Roman" w:hAnsi="Times New Roman" w:cs="Times New Roman"/>
          <w:sz w:val="24"/>
          <w:szCs w:val="24"/>
        </w:rPr>
        <w:t>EN 12899-5</w:t>
      </w:r>
      <w:r w:rsidR="005D4976">
        <w:rPr>
          <w:rFonts w:ascii="Times New Roman" w:hAnsi="Times New Roman" w:cs="Times New Roman"/>
          <w:sz w:val="24"/>
          <w:szCs w:val="24"/>
        </w:rPr>
        <w:t>:2008</w:t>
      </w:r>
      <w:r w:rsidR="00BB5935">
        <w:rPr>
          <w:rFonts w:ascii="Times New Roman" w:hAnsi="Times New Roman" w:cs="Times New Roman"/>
          <w:sz w:val="24"/>
          <w:szCs w:val="24"/>
        </w:rPr>
        <w:t xml:space="preserve"> </w:t>
      </w:r>
      <w:r w:rsidR="000E241E" w:rsidRPr="00744027">
        <w:rPr>
          <w:rFonts w:ascii="Times New Roman" w:hAnsi="Times New Roman" w:cs="Times New Roman"/>
          <w:sz w:val="24"/>
          <w:szCs w:val="24"/>
        </w:rPr>
        <w:t>Stałe, pionowe znaki drogowe - Część 5 Badanie wstępne typu</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w:t>
      </w:r>
      <w:r w:rsidR="00F44CF4">
        <w:rPr>
          <w:rFonts w:ascii="Times New Roman" w:hAnsi="Times New Roman" w:cs="Times New Roman"/>
          <w:sz w:val="24"/>
          <w:szCs w:val="24"/>
        </w:rPr>
        <w:t>H-74200:</w:t>
      </w:r>
      <w:r w:rsidRPr="00744027">
        <w:rPr>
          <w:rFonts w:ascii="Times New Roman" w:hAnsi="Times New Roman" w:cs="Times New Roman"/>
          <w:sz w:val="24"/>
          <w:szCs w:val="24"/>
        </w:rPr>
        <w:t>1998</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Rury stalowe ze szwem, gwintowane</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2808:200</w:t>
      </w:r>
      <w:r w:rsidR="00F44CF4">
        <w:rPr>
          <w:rFonts w:ascii="Times New Roman" w:hAnsi="Times New Roman" w:cs="Times New Roman"/>
          <w:sz w:val="24"/>
          <w:szCs w:val="24"/>
        </w:rPr>
        <w:t>8</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Farby i lakiery - oznaczanie grubości powłoki</w:t>
      </w:r>
    </w:p>
    <w:p w:rsidR="000E241E" w:rsidRPr="00744027" w:rsidRDefault="008A3A48" w:rsidP="008A3A48">
      <w:pPr>
        <w:pStyle w:val="Zwykytekst"/>
        <w:numPr>
          <w:ilvl w:val="0"/>
          <w:numId w:val="36"/>
        </w:numPr>
        <w:contextualSpacing/>
        <w:jc w:val="both"/>
        <w:rPr>
          <w:rFonts w:ascii="Times New Roman" w:hAnsi="Times New Roman" w:cs="Times New Roman"/>
          <w:sz w:val="24"/>
          <w:szCs w:val="24"/>
        </w:rPr>
      </w:pPr>
      <w:r w:rsidRPr="008A3A48">
        <w:rPr>
          <w:rFonts w:ascii="Times New Roman" w:hAnsi="Times New Roman" w:cs="Times New Roman"/>
          <w:sz w:val="24"/>
          <w:szCs w:val="24"/>
        </w:rPr>
        <w:t>PN-EN 10163-3:1999</w:t>
      </w:r>
      <w:r w:rsidR="00AF783B">
        <w:rPr>
          <w:rFonts w:ascii="Times New Roman" w:hAnsi="Times New Roman" w:cs="Times New Roman"/>
          <w:sz w:val="24"/>
          <w:szCs w:val="24"/>
        </w:rPr>
        <w:t xml:space="preserve"> </w:t>
      </w:r>
      <w:r>
        <w:rPr>
          <w:rFonts w:ascii="Times New Roman" w:hAnsi="Times New Roman" w:cs="Times New Roman"/>
          <w:sz w:val="24"/>
          <w:szCs w:val="24"/>
        </w:rPr>
        <w:t>Stal -</w:t>
      </w:r>
      <w:r w:rsidRPr="008A3A48">
        <w:rPr>
          <w:rFonts w:ascii="Times New Roman" w:hAnsi="Times New Roman" w:cs="Times New Roman"/>
          <w:sz w:val="24"/>
          <w:szCs w:val="24"/>
        </w:rPr>
        <w:t xml:space="preserve"> Powierzchnia blach grubych i uniwersalnych oraz kształtownik</w:t>
      </w:r>
      <w:r>
        <w:rPr>
          <w:rFonts w:ascii="Times New Roman" w:hAnsi="Times New Roman" w:cs="Times New Roman"/>
          <w:sz w:val="24"/>
          <w:szCs w:val="24"/>
        </w:rPr>
        <w:t>ów walcowanych na gorąco</w:t>
      </w:r>
    </w:p>
    <w:p w:rsidR="000E241E" w:rsidRDefault="00073A28" w:rsidP="00BC6B39">
      <w:pPr>
        <w:pStyle w:val="Akapitzlist"/>
        <w:widowControl w:val="0"/>
        <w:numPr>
          <w:ilvl w:val="0"/>
          <w:numId w:val="36"/>
        </w:numPr>
        <w:autoSpaceDE w:val="0"/>
        <w:autoSpaceDN w:val="0"/>
        <w:adjustRightInd w:val="0"/>
        <w:rPr>
          <w:sz w:val="24"/>
          <w:szCs w:val="24"/>
        </w:rPr>
      </w:pPr>
      <w:hyperlink r:id="rId8" w:history="1">
        <w:r w:rsidR="0017591C" w:rsidRPr="00F80E88">
          <w:rPr>
            <w:sz w:val="24"/>
            <w:szCs w:val="24"/>
          </w:rPr>
          <w:t>PN-EN 1317-3:20</w:t>
        </w:r>
      </w:hyperlink>
      <w:r w:rsidR="0017591C" w:rsidRPr="00F80E88">
        <w:rPr>
          <w:sz w:val="24"/>
          <w:szCs w:val="24"/>
        </w:rPr>
        <w:t>10</w:t>
      </w:r>
      <w:r w:rsidR="00AF783B">
        <w:rPr>
          <w:sz w:val="24"/>
          <w:szCs w:val="24"/>
        </w:rPr>
        <w:t xml:space="preserve"> </w:t>
      </w:r>
      <w:hyperlink r:id="rId9" w:history="1">
        <w:r w:rsidR="0017591C" w:rsidRPr="00F80E88">
          <w:rPr>
            <w:sz w:val="24"/>
            <w:szCs w:val="24"/>
          </w:rPr>
          <w:t xml:space="preserve">Systemy ograniczające drogę - Część 3: </w:t>
        </w:r>
        <w:r w:rsidR="00CE5FD8" w:rsidRPr="00F80E88">
          <w:rPr>
            <w:sz w:val="24"/>
            <w:szCs w:val="24"/>
          </w:rPr>
          <w:t xml:space="preserve">Klasy działania, kryteria </w:t>
        </w:r>
        <w:r w:rsidR="0017591C" w:rsidRPr="00F80E88">
          <w:rPr>
            <w:sz w:val="24"/>
            <w:szCs w:val="24"/>
          </w:rPr>
          <w:t>przyjęcia badań zderzeniowych i metody badań poduszek zderzeniowych</w:t>
        </w:r>
      </w:hyperlink>
    </w:p>
    <w:p w:rsidR="00C56C2D" w:rsidRPr="00C56C2D" w:rsidRDefault="00D964DE" w:rsidP="00D964DE">
      <w:pPr>
        <w:pStyle w:val="Akapitzlist"/>
        <w:widowControl w:val="0"/>
        <w:numPr>
          <w:ilvl w:val="0"/>
          <w:numId w:val="36"/>
        </w:numPr>
        <w:autoSpaceDE w:val="0"/>
        <w:autoSpaceDN w:val="0"/>
        <w:adjustRightInd w:val="0"/>
        <w:rPr>
          <w:sz w:val="24"/>
          <w:szCs w:val="24"/>
        </w:rPr>
      </w:pPr>
      <w:r w:rsidRPr="00D964DE">
        <w:rPr>
          <w:sz w:val="24"/>
          <w:szCs w:val="24"/>
        </w:rPr>
        <w:lastRenderedPageBreak/>
        <w:t xml:space="preserve">Rozporządzenie Ministra Infrastruktury z dnia 3 lipca 2003 r. w sprawie szczegółowych warunków technicznych dla znaków i sygnałów drogowych oraz urządzeń bezpieczeństwa ruchu drogowego i warunków ich umieszczania na drogach </w:t>
      </w:r>
      <w:r w:rsidR="00C56C2D" w:rsidRPr="00C56C2D">
        <w:rPr>
          <w:sz w:val="24"/>
          <w:szCs w:val="24"/>
        </w:rPr>
        <w:t>(Dz. U. 20</w:t>
      </w:r>
      <w:r w:rsidR="008C4358">
        <w:rPr>
          <w:sz w:val="24"/>
          <w:szCs w:val="24"/>
        </w:rPr>
        <w:t>03 nr 220</w:t>
      </w:r>
      <w:r w:rsidR="00C56C2D" w:rsidRPr="00C56C2D">
        <w:rPr>
          <w:sz w:val="24"/>
          <w:szCs w:val="24"/>
        </w:rPr>
        <w:t xml:space="preserve"> poz. </w:t>
      </w:r>
      <w:r w:rsidR="008C4358">
        <w:rPr>
          <w:sz w:val="24"/>
          <w:szCs w:val="24"/>
        </w:rPr>
        <w:t>218 z późniejszymi zm</w:t>
      </w:r>
      <w:r w:rsidR="006E448F">
        <w:rPr>
          <w:sz w:val="24"/>
          <w:szCs w:val="24"/>
        </w:rPr>
        <w:t>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Rozporządzenie Ministra Infrastruktury i Budownictwa z dnia 17 listopada 2016 r. w sprawie sposobu deklarowania właściwości użytkowych wyrobów budowlanych oraz sposobu znakowania ich znakiem budowlanym. (Dz. U. 2016 poz. 1966)</w:t>
      </w:r>
    </w:p>
    <w:p w:rsidR="00C56C2D" w:rsidRPr="00C56C2D" w:rsidRDefault="002025CB" w:rsidP="002025CB">
      <w:pPr>
        <w:pStyle w:val="Akapitzlist"/>
        <w:widowControl w:val="0"/>
        <w:numPr>
          <w:ilvl w:val="0"/>
          <w:numId w:val="36"/>
        </w:numPr>
        <w:autoSpaceDE w:val="0"/>
        <w:autoSpaceDN w:val="0"/>
        <w:adjustRightInd w:val="0"/>
        <w:rPr>
          <w:sz w:val="24"/>
          <w:szCs w:val="24"/>
        </w:rPr>
      </w:pPr>
      <w:r w:rsidRPr="002025CB">
        <w:rPr>
          <w:sz w:val="24"/>
          <w:szCs w:val="24"/>
        </w:rPr>
        <w:t>Ustawa z dnia 16 kwietnia 2004 r. o wyrobach budowlanych</w:t>
      </w:r>
      <w:r>
        <w:rPr>
          <w:sz w:val="24"/>
          <w:szCs w:val="24"/>
        </w:rPr>
        <w:t>.</w:t>
      </w:r>
      <w:r w:rsidR="00C56C2D" w:rsidRPr="00C56C2D">
        <w:rPr>
          <w:sz w:val="24"/>
          <w:szCs w:val="24"/>
        </w:rPr>
        <w:t xml:space="preserve"> (</w:t>
      </w:r>
      <w:r w:rsidRPr="002025CB">
        <w:rPr>
          <w:sz w:val="24"/>
          <w:szCs w:val="24"/>
        </w:rPr>
        <w:t>Dz.U. 2004 nr 92 poz. 881</w:t>
      </w:r>
      <w:r w:rsidR="006E448F">
        <w:rPr>
          <w:sz w:val="24"/>
          <w:szCs w:val="24"/>
        </w:rPr>
        <w:t xml:space="preserve"> z późniejszymi zmianami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CIE No. 39.2 1983 Recommendations for surface colours for visual signalling (Zalecenia dla barw powierzchniowych sygnalizacji wizualnej)</w:t>
      </w:r>
    </w:p>
    <w:p w:rsidR="00C56C2D" w:rsidRPr="00AF783B" w:rsidRDefault="00C56C2D" w:rsidP="00AF783B">
      <w:pPr>
        <w:pStyle w:val="Akapitzlist"/>
        <w:widowControl w:val="0"/>
        <w:numPr>
          <w:ilvl w:val="0"/>
          <w:numId w:val="36"/>
        </w:numPr>
        <w:autoSpaceDE w:val="0"/>
        <w:autoSpaceDN w:val="0"/>
        <w:adjustRightInd w:val="0"/>
        <w:rPr>
          <w:sz w:val="24"/>
          <w:szCs w:val="24"/>
        </w:rPr>
      </w:pPr>
      <w:r w:rsidRPr="00C56C2D">
        <w:rPr>
          <w:sz w:val="24"/>
          <w:szCs w:val="24"/>
        </w:rPr>
        <w:t>CIE No. 54 Retroreflection definition and measurement (Powierzchniowy współczynnik odblasku definicja i pomiary)</w:t>
      </w:r>
    </w:p>
    <w:sectPr w:rsidR="00C56C2D" w:rsidRPr="00AF783B" w:rsidSect="00F80E88">
      <w:headerReference w:type="default" r:id="rId10"/>
      <w:footerReference w:type="even" r:id="rId11"/>
      <w:type w:val="continuous"/>
      <w:pgSz w:w="11907" w:h="16840" w:code="9"/>
      <w:pgMar w:top="1440" w:right="1440" w:bottom="1584" w:left="1440"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1DE" w:rsidRDefault="005E01DE" w:rsidP="00C83D28">
      <w:pPr>
        <w:pStyle w:val="Akapitzlist"/>
      </w:pPr>
      <w:r>
        <w:separator/>
      </w:r>
    </w:p>
  </w:endnote>
  <w:endnote w:type="continuationSeparator" w:id="0">
    <w:p w:rsidR="005E01DE" w:rsidRDefault="005E01DE" w:rsidP="00C83D28">
      <w:pPr>
        <w:pStyle w:val="Akapitzlis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Default="00073A28">
    <w:pPr>
      <w:pStyle w:val="Stopka"/>
      <w:framePr w:wrap="around" w:vAnchor="text" w:hAnchor="margin" w:xAlign="center" w:y="1"/>
      <w:rPr>
        <w:rStyle w:val="Numerstrony"/>
      </w:rPr>
    </w:pPr>
    <w:r>
      <w:rPr>
        <w:rStyle w:val="Numerstrony"/>
      </w:rPr>
      <w:fldChar w:fldCharType="begin"/>
    </w:r>
    <w:r w:rsidR="004D0FE5">
      <w:rPr>
        <w:rStyle w:val="Numerstrony"/>
      </w:rPr>
      <w:instrText xml:space="preserve">PAGE  </w:instrText>
    </w:r>
    <w:r>
      <w:rPr>
        <w:rStyle w:val="Numerstrony"/>
      </w:rPr>
      <w:fldChar w:fldCharType="end"/>
    </w:r>
  </w:p>
  <w:p w:rsidR="004D0FE5" w:rsidRDefault="004D0FE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1DE" w:rsidRDefault="005E01DE" w:rsidP="00C83D28">
      <w:pPr>
        <w:pStyle w:val="Akapitzlist"/>
      </w:pPr>
      <w:r>
        <w:separator/>
      </w:r>
    </w:p>
  </w:footnote>
  <w:footnote w:type="continuationSeparator" w:id="0">
    <w:p w:rsidR="005E01DE" w:rsidRDefault="005E01DE" w:rsidP="00C83D28">
      <w:pPr>
        <w:pStyle w:val="Akapitzlis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Pr="00E2495C" w:rsidRDefault="004D0FE5" w:rsidP="00744027">
    <w:pPr>
      <w:pStyle w:val="Stopka"/>
      <w:pBdr>
        <w:bottom w:val="single" w:sz="6" w:space="0" w:color="auto"/>
      </w:pBdr>
      <w:rPr>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D63AC1"/>
    <w:multiLevelType w:val="hybridMultilevel"/>
    <w:tmpl w:val="895AD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C03A56"/>
    <w:multiLevelType w:val="multilevel"/>
    <w:tmpl w:val="D2AA4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94366"/>
    <w:multiLevelType w:val="hybridMultilevel"/>
    <w:tmpl w:val="D30622AA"/>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DED006A"/>
    <w:multiLevelType w:val="hybridMultilevel"/>
    <w:tmpl w:val="260880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8180E12"/>
    <w:multiLevelType w:val="multilevel"/>
    <w:tmpl w:val="87C881FC"/>
    <w:lvl w:ilvl="0">
      <w:start w:val="1"/>
      <w:numFmt w:val="decimal"/>
      <w:lvlText w:val="%1"/>
      <w:lvlJc w:val="left"/>
      <w:pPr>
        <w:ind w:left="405" w:hanging="405"/>
      </w:pPr>
      <w:rPr>
        <w:rFonts w:hint="default"/>
      </w:rPr>
    </w:lvl>
    <w:lvl w:ilvl="1">
      <w:start w:val="5"/>
      <w:numFmt w:val="decimal"/>
      <w:lvlText w:val="%1.%2"/>
      <w:lvlJc w:val="left"/>
      <w:pPr>
        <w:ind w:left="415" w:hanging="405"/>
      </w:pPr>
      <w:rPr>
        <w:rFonts w:hint="default"/>
      </w:rPr>
    </w:lvl>
    <w:lvl w:ilvl="2">
      <w:start w:val="1"/>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760" w:hanging="72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140" w:hanging="108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6">
    <w:nsid w:val="185826F8"/>
    <w:multiLevelType w:val="hybridMultilevel"/>
    <w:tmpl w:val="69D447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AC23AB"/>
    <w:multiLevelType w:val="hybridMultilevel"/>
    <w:tmpl w:val="440E4150"/>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B496964"/>
    <w:multiLevelType w:val="hybridMultilevel"/>
    <w:tmpl w:val="BDD8BACC"/>
    <w:lvl w:ilvl="0" w:tplc="17DA6AEC">
      <w:start w:val="1"/>
      <w:numFmt w:val="lowerLetter"/>
      <w:lvlText w:val="%1)"/>
      <w:lvlJc w:val="left"/>
      <w:pPr>
        <w:tabs>
          <w:tab w:val="num" w:pos="680"/>
        </w:tabs>
        <w:ind w:left="680" w:hanging="45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C577C1A"/>
    <w:multiLevelType w:val="hybridMultilevel"/>
    <w:tmpl w:val="90327A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2A6DA0"/>
    <w:multiLevelType w:val="multilevel"/>
    <w:tmpl w:val="523404C4"/>
    <w:lvl w:ilvl="0">
      <w:start w:val="1"/>
      <w:numFmt w:val="bullet"/>
      <w:lvlText w:val=""/>
      <w:lvlJc w:val="left"/>
      <w:pPr>
        <w:tabs>
          <w:tab w:val="num" w:pos="720"/>
        </w:tabs>
        <w:ind w:left="720" w:hanging="360"/>
      </w:pPr>
      <w:rPr>
        <w:rFonts w:ascii="Symbol" w:hAnsi="Symbol" w:hint="default"/>
      </w:rPr>
    </w:lvl>
    <w:lvl w:ilvl="1">
      <w:start w:val="2"/>
      <w:numFmt w:val="decimal"/>
      <w:lvlText w:val="%1.%2."/>
      <w:lvlJc w:val="left"/>
      <w:pPr>
        <w:tabs>
          <w:tab w:val="num" w:pos="540"/>
        </w:tabs>
        <w:ind w:left="540" w:hanging="540"/>
      </w:pPr>
      <w:rPr>
        <w:rFonts w:hint="default"/>
      </w:rPr>
    </w:lvl>
    <w:lvl w:ilvl="2">
      <w:start w:val="1"/>
      <w:numFmt w:val="bullet"/>
      <w:lvlText w:val=""/>
      <w:lvlJc w:val="left"/>
      <w:pPr>
        <w:tabs>
          <w:tab w:val="num" w:pos="794"/>
        </w:tabs>
        <w:ind w:left="794" w:hanging="397"/>
      </w:pPr>
      <w:rPr>
        <w:rFonts w:ascii="Symbol" w:hAnsi="Symbol"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28F0241"/>
    <w:multiLevelType w:val="hybridMultilevel"/>
    <w:tmpl w:val="50B8F1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851840"/>
    <w:multiLevelType w:val="multilevel"/>
    <w:tmpl w:val="254E9F06"/>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6A07961"/>
    <w:multiLevelType w:val="hybridMultilevel"/>
    <w:tmpl w:val="9A148F1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1F1624"/>
    <w:multiLevelType w:val="multilevel"/>
    <w:tmpl w:val="3AD8CE8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1D1B82"/>
    <w:multiLevelType w:val="hybridMultilevel"/>
    <w:tmpl w:val="DB84D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1944229"/>
    <w:multiLevelType w:val="multilevel"/>
    <w:tmpl w:val="D6866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CC0AD6"/>
    <w:multiLevelType w:val="hybridMultilevel"/>
    <w:tmpl w:val="A1362C2A"/>
    <w:lvl w:ilvl="0" w:tplc="4FA24822">
      <w:start w:val="1"/>
      <w:numFmt w:val="lowerLetter"/>
      <w:lvlText w:val="%1)"/>
      <w:lvlJc w:val="left"/>
      <w:pPr>
        <w:ind w:left="720" w:hanging="360"/>
      </w:pPr>
      <w:rPr>
        <w:rFonts w:hint="default"/>
      </w:rPr>
    </w:lvl>
    <w:lvl w:ilvl="1" w:tplc="A2E00D7E" w:tentative="1">
      <w:start w:val="1"/>
      <w:numFmt w:val="lowerLetter"/>
      <w:lvlText w:val="%2."/>
      <w:lvlJc w:val="left"/>
      <w:pPr>
        <w:ind w:left="1440" w:hanging="360"/>
      </w:pPr>
    </w:lvl>
    <w:lvl w:ilvl="2" w:tplc="FAF41008" w:tentative="1">
      <w:start w:val="1"/>
      <w:numFmt w:val="lowerRoman"/>
      <w:lvlText w:val="%3."/>
      <w:lvlJc w:val="right"/>
      <w:pPr>
        <w:ind w:left="2160" w:hanging="180"/>
      </w:pPr>
    </w:lvl>
    <w:lvl w:ilvl="3" w:tplc="79B818D8" w:tentative="1">
      <w:start w:val="1"/>
      <w:numFmt w:val="decimal"/>
      <w:lvlText w:val="%4."/>
      <w:lvlJc w:val="left"/>
      <w:pPr>
        <w:ind w:left="2880" w:hanging="360"/>
      </w:pPr>
    </w:lvl>
    <w:lvl w:ilvl="4" w:tplc="91841CB2" w:tentative="1">
      <w:start w:val="1"/>
      <w:numFmt w:val="lowerLetter"/>
      <w:lvlText w:val="%5."/>
      <w:lvlJc w:val="left"/>
      <w:pPr>
        <w:ind w:left="3600" w:hanging="360"/>
      </w:pPr>
    </w:lvl>
    <w:lvl w:ilvl="5" w:tplc="40763B60" w:tentative="1">
      <w:start w:val="1"/>
      <w:numFmt w:val="lowerRoman"/>
      <w:lvlText w:val="%6."/>
      <w:lvlJc w:val="right"/>
      <w:pPr>
        <w:ind w:left="4320" w:hanging="180"/>
      </w:pPr>
    </w:lvl>
    <w:lvl w:ilvl="6" w:tplc="1F30E8C2" w:tentative="1">
      <w:start w:val="1"/>
      <w:numFmt w:val="decimal"/>
      <w:lvlText w:val="%7."/>
      <w:lvlJc w:val="left"/>
      <w:pPr>
        <w:ind w:left="5040" w:hanging="360"/>
      </w:pPr>
    </w:lvl>
    <w:lvl w:ilvl="7" w:tplc="F2DA2762" w:tentative="1">
      <w:start w:val="1"/>
      <w:numFmt w:val="lowerLetter"/>
      <w:lvlText w:val="%8."/>
      <w:lvlJc w:val="left"/>
      <w:pPr>
        <w:ind w:left="5760" w:hanging="360"/>
      </w:pPr>
    </w:lvl>
    <w:lvl w:ilvl="8" w:tplc="5D26F116" w:tentative="1">
      <w:start w:val="1"/>
      <w:numFmt w:val="lowerRoman"/>
      <w:lvlText w:val="%9."/>
      <w:lvlJc w:val="right"/>
      <w:pPr>
        <w:ind w:left="6480" w:hanging="180"/>
      </w:pPr>
    </w:lvl>
  </w:abstractNum>
  <w:abstractNum w:abstractNumId="18">
    <w:nsid w:val="35E25FB0"/>
    <w:multiLevelType w:val="hybridMultilevel"/>
    <w:tmpl w:val="55646118"/>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6615E72"/>
    <w:multiLevelType w:val="hybridMultilevel"/>
    <w:tmpl w:val="18805D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B252A00"/>
    <w:multiLevelType w:val="multilevel"/>
    <w:tmpl w:val="F238D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CD3353E"/>
    <w:multiLevelType w:val="hybridMultilevel"/>
    <w:tmpl w:val="D800F7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6EE6879"/>
    <w:multiLevelType w:val="hybridMultilevel"/>
    <w:tmpl w:val="48EAB4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D5759C2"/>
    <w:multiLevelType w:val="hybridMultilevel"/>
    <w:tmpl w:val="46EE98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4EEA2CA2"/>
    <w:multiLevelType w:val="hybridMultilevel"/>
    <w:tmpl w:val="027CA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F566D0E"/>
    <w:multiLevelType w:val="hybridMultilevel"/>
    <w:tmpl w:val="FE8272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F80191D"/>
    <w:multiLevelType w:val="hybridMultilevel"/>
    <w:tmpl w:val="2F8C8C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04C3724"/>
    <w:multiLevelType w:val="hybridMultilevel"/>
    <w:tmpl w:val="11E4DC50"/>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3856215"/>
    <w:multiLevelType w:val="hybridMultilevel"/>
    <w:tmpl w:val="0074B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66B19A2"/>
    <w:multiLevelType w:val="singleLevel"/>
    <w:tmpl w:val="0415000F"/>
    <w:lvl w:ilvl="0">
      <w:start w:val="1"/>
      <w:numFmt w:val="decimal"/>
      <w:lvlText w:val="%1."/>
      <w:lvlJc w:val="left"/>
      <w:pPr>
        <w:tabs>
          <w:tab w:val="num" w:pos="360"/>
        </w:tabs>
        <w:ind w:left="360" w:hanging="360"/>
      </w:pPr>
    </w:lvl>
  </w:abstractNum>
  <w:abstractNum w:abstractNumId="30">
    <w:nsid w:val="56C17AF0"/>
    <w:multiLevelType w:val="hybridMultilevel"/>
    <w:tmpl w:val="55FADAE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5A0257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D17116B"/>
    <w:multiLevelType w:val="hybridMultilevel"/>
    <w:tmpl w:val="B2DC4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A796B6D"/>
    <w:multiLevelType w:val="multilevel"/>
    <w:tmpl w:val="61124B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8119FF"/>
    <w:multiLevelType w:val="hybridMultilevel"/>
    <w:tmpl w:val="0046B5D2"/>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A964B93"/>
    <w:multiLevelType w:val="hybridMultilevel"/>
    <w:tmpl w:val="31141F46"/>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7138463A"/>
    <w:multiLevelType w:val="hybridMultilevel"/>
    <w:tmpl w:val="E30021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72B7299F"/>
    <w:multiLevelType w:val="multilevel"/>
    <w:tmpl w:val="426C7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4B50A25"/>
    <w:multiLevelType w:val="hybridMultilevel"/>
    <w:tmpl w:val="AC805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627E5"/>
    <w:multiLevelType w:val="hybridMultilevel"/>
    <w:tmpl w:val="D4FC6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A235502"/>
    <w:multiLevelType w:val="hybridMultilevel"/>
    <w:tmpl w:val="DE1467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8"/>
  </w:num>
  <w:num w:numId="4">
    <w:abstractNumId w:val="29"/>
  </w:num>
  <w:num w:numId="5">
    <w:abstractNumId w:val="10"/>
  </w:num>
  <w:num w:numId="6">
    <w:abstractNumId w:val="34"/>
  </w:num>
  <w:num w:numId="7">
    <w:abstractNumId w:val="35"/>
  </w:num>
  <w:num w:numId="8">
    <w:abstractNumId w:val="12"/>
  </w:num>
  <w:num w:numId="9">
    <w:abstractNumId w:val="7"/>
  </w:num>
  <w:num w:numId="10">
    <w:abstractNumId w:val="26"/>
  </w:num>
  <w:num w:numId="11">
    <w:abstractNumId w:val="32"/>
  </w:num>
  <w:num w:numId="12">
    <w:abstractNumId w:val="36"/>
  </w:num>
  <w:num w:numId="13">
    <w:abstractNumId w:val="4"/>
  </w:num>
  <w:num w:numId="14">
    <w:abstractNumId w:val="19"/>
  </w:num>
  <w:num w:numId="15">
    <w:abstractNumId w:val="25"/>
  </w:num>
  <w:num w:numId="16">
    <w:abstractNumId w:val="9"/>
  </w:num>
  <w:num w:numId="17">
    <w:abstractNumId w:val="22"/>
  </w:num>
  <w:num w:numId="18">
    <w:abstractNumId w:val="40"/>
  </w:num>
  <w:num w:numId="19">
    <w:abstractNumId w:val="6"/>
  </w:num>
  <w:num w:numId="20">
    <w:abstractNumId w:val="28"/>
  </w:num>
  <w:num w:numId="21">
    <w:abstractNumId w:val="11"/>
  </w:num>
  <w:num w:numId="22">
    <w:abstractNumId w:val="27"/>
  </w:num>
  <w:num w:numId="23">
    <w:abstractNumId w:val="13"/>
  </w:num>
  <w:num w:numId="24">
    <w:abstractNumId w:val="18"/>
  </w:num>
  <w:num w:numId="25">
    <w:abstractNumId w:val="23"/>
  </w:num>
  <w:num w:numId="26">
    <w:abstractNumId w:val="1"/>
  </w:num>
  <w:num w:numId="27">
    <w:abstractNumId w:val="15"/>
  </w:num>
  <w:num w:numId="28">
    <w:abstractNumId w:val="24"/>
  </w:num>
  <w:num w:numId="29">
    <w:abstractNumId w:val="21"/>
  </w:num>
  <w:num w:numId="30">
    <w:abstractNumId w:val="17"/>
  </w:num>
  <w:num w:numId="31">
    <w:abstractNumId w:val="38"/>
  </w:num>
  <w:num w:numId="32">
    <w:abstractNumId w:val="14"/>
  </w:num>
  <w:num w:numId="33">
    <w:abstractNumId w:val="31"/>
  </w:num>
  <w:num w:numId="34">
    <w:abstractNumId w:val="20"/>
  </w:num>
  <w:num w:numId="35">
    <w:abstractNumId w:val="37"/>
  </w:num>
  <w:num w:numId="36">
    <w:abstractNumId w:val="30"/>
  </w:num>
  <w:num w:numId="37">
    <w:abstractNumId w:val="16"/>
  </w:num>
  <w:num w:numId="38">
    <w:abstractNumId w:val="2"/>
  </w:num>
  <w:num w:numId="39">
    <w:abstractNumId w:val="33"/>
  </w:num>
  <w:num w:numId="40">
    <w:abstractNumId w:val="5"/>
  </w:num>
  <w:num w:numId="41">
    <w:abstractNumId w:val="3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w:hdrShapeDefaults>
  <w:footnotePr>
    <w:footnote w:id="-1"/>
    <w:footnote w:id="0"/>
  </w:footnotePr>
  <w:endnotePr>
    <w:endnote w:id="-1"/>
    <w:endnote w:id="0"/>
  </w:endnotePr>
  <w:compat/>
  <w:rsids>
    <w:rsidRoot w:val="003D195F"/>
    <w:rsid w:val="00000EE7"/>
    <w:rsid w:val="0000496A"/>
    <w:rsid w:val="000107AE"/>
    <w:rsid w:val="000167A1"/>
    <w:rsid w:val="0002735B"/>
    <w:rsid w:val="00031D93"/>
    <w:rsid w:val="000438BE"/>
    <w:rsid w:val="0006086B"/>
    <w:rsid w:val="00070392"/>
    <w:rsid w:val="00071FD1"/>
    <w:rsid w:val="00073A28"/>
    <w:rsid w:val="00082DD1"/>
    <w:rsid w:val="00085BD2"/>
    <w:rsid w:val="000B213F"/>
    <w:rsid w:val="000B4A86"/>
    <w:rsid w:val="000B7857"/>
    <w:rsid w:val="000C5116"/>
    <w:rsid w:val="000C6780"/>
    <w:rsid w:val="000D0A98"/>
    <w:rsid w:val="000D4A69"/>
    <w:rsid w:val="000D7FDD"/>
    <w:rsid w:val="000E241E"/>
    <w:rsid w:val="000E4ACF"/>
    <w:rsid w:val="00101A3A"/>
    <w:rsid w:val="00101D33"/>
    <w:rsid w:val="00107D57"/>
    <w:rsid w:val="00116264"/>
    <w:rsid w:val="001170C5"/>
    <w:rsid w:val="00122F8F"/>
    <w:rsid w:val="00142AD3"/>
    <w:rsid w:val="00142F9C"/>
    <w:rsid w:val="00151264"/>
    <w:rsid w:val="00155BC4"/>
    <w:rsid w:val="0016200F"/>
    <w:rsid w:val="0017591C"/>
    <w:rsid w:val="001762F8"/>
    <w:rsid w:val="001778AE"/>
    <w:rsid w:val="00187BEF"/>
    <w:rsid w:val="001C4921"/>
    <w:rsid w:val="001C5F45"/>
    <w:rsid w:val="001D366F"/>
    <w:rsid w:val="001E72E2"/>
    <w:rsid w:val="001F0F57"/>
    <w:rsid w:val="001F1732"/>
    <w:rsid w:val="001F39D7"/>
    <w:rsid w:val="0020153D"/>
    <w:rsid w:val="002025CB"/>
    <w:rsid w:val="0020703D"/>
    <w:rsid w:val="00226D00"/>
    <w:rsid w:val="002277A1"/>
    <w:rsid w:val="0024041D"/>
    <w:rsid w:val="00241482"/>
    <w:rsid w:val="00260873"/>
    <w:rsid w:val="00263DD6"/>
    <w:rsid w:val="002754D2"/>
    <w:rsid w:val="002776AE"/>
    <w:rsid w:val="00294D17"/>
    <w:rsid w:val="002A48C8"/>
    <w:rsid w:val="002B27BD"/>
    <w:rsid w:val="002C4426"/>
    <w:rsid w:val="002C6479"/>
    <w:rsid w:val="002D349B"/>
    <w:rsid w:val="002F1246"/>
    <w:rsid w:val="003044B9"/>
    <w:rsid w:val="00306E92"/>
    <w:rsid w:val="00320E90"/>
    <w:rsid w:val="0034758B"/>
    <w:rsid w:val="003644DC"/>
    <w:rsid w:val="00370D50"/>
    <w:rsid w:val="003723CD"/>
    <w:rsid w:val="00375266"/>
    <w:rsid w:val="0038040F"/>
    <w:rsid w:val="00385A95"/>
    <w:rsid w:val="00394BCB"/>
    <w:rsid w:val="003A0A03"/>
    <w:rsid w:val="003B27E7"/>
    <w:rsid w:val="003D1543"/>
    <w:rsid w:val="003D195F"/>
    <w:rsid w:val="003F1BC6"/>
    <w:rsid w:val="00411BB0"/>
    <w:rsid w:val="00415D06"/>
    <w:rsid w:val="00420426"/>
    <w:rsid w:val="004347D0"/>
    <w:rsid w:val="0044188F"/>
    <w:rsid w:val="00465088"/>
    <w:rsid w:val="00477A60"/>
    <w:rsid w:val="00482869"/>
    <w:rsid w:val="00492863"/>
    <w:rsid w:val="004C41D2"/>
    <w:rsid w:val="004C5C36"/>
    <w:rsid w:val="004D0FE5"/>
    <w:rsid w:val="004D2730"/>
    <w:rsid w:val="004E46E8"/>
    <w:rsid w:val="00500ACE"/>
    <w:rsid w:val="00503460"/>
    <w:rsid w:val="005078EB"/>
    <w:rsid w:val="0052119E"/>
    <w:rsid w:val="00535750"/>
    <w:rsid w:val="005372B4"/>
    <w:rsid w:val="00544D87"/>
    <w:rsid w:val="0054675A"/>
    <w:rsid w:val="00547262"/>
    <w:rsid w:val="005473FA"/>
    <w:rsid w:val="00554C75"/>
    <w:rsid w:val="00560D64"/>
    <w:rsid w:val="00583071"/>
    <w:rsid w:val="005854D2"/>
    <w:rsid w:val="005A351B"/>
    <w:rsid w:val="005B0DDE"/>
    <w:rsid w:val="005B2330"/>
    <w:rsid w:val="005B5C39"/>
    <w:rsid w:val="005D4976"/>
    <w:rsid w:val="005E01DE"/>
    <w:rsid w:val="005E0EC0"/>
    <w:rsid w:val="005E772C"/>
    <w:rsid w:val="005F622E"/>
    <w:rsid w:val="00603A44"/>
    <w:rsid w:val="00615C36"/>
    <w:rsid w:val="006272D3"/>
    <w:rsid w:val="00647A4B"/>
    <w:rsid w:val="006522F2"/>
    <w:rsid w:val="00656376"/>
    <w:rsid w:val="006701A5"/>
    <w:rsid w:val="006738E5"/>
    <w:rsid w:val="006852C0"/>
    <w:rsid w:val="0068790B"/>
    <w:rsid w:val="00696743"/>
    <w:rsid w:val="006C21D0"/>
    <w:rsid w:val="006D1A8F"/>
    <w:rsid w:val="006D1CC7"/>
    <w:rsid w:val="006E448F"/>
    <w:rsid w:val="0072341B"/>
    <w:rsid w:val="00744027"/>
    <w:rsid w:val="007520D9"/>
    <w:rsid w:val="007545BA"/>
    <w:rsid w:val="007712CD"/>
    <w:rsid w:val="00781BDE"/>
    <w:rsid w:val="00782FE2"/>
    <w:rsid w:val="00784B42"/>
    <w:rsid w:val="00785CAF"/>
    <w:rsid w:val="00787CD0"/>
    <w:rsid w:val="007B1253"/>
    <w:rsid w:val="007C7404"/>
    <w:rsid w:val="007E7382"/>
    <w:rsid w:val="0080660D"/>
    <w:rsid w:val="00807EEA"/>
    <w:rsid w:val="00826BF6"/>
    <w:rsid w:val="008408EA"/>
    <w:rsid w:val="00860F4D"/>
    <w:rsid w:val="00866F07"/>
    <w:rsid w:val="008855B4"/>
    <w:rsid w:val="008A3A48"/>
    <w:rsid w:val="008A5DF5"/>
    <w:rsid w:val="008B1972"/>
    <w:rsid w:val="008B19ED"/>
    <w:rsid w:val="008B5048"/>
    <w:rsid w:val="008B5050"/>
    <w:rsid w:val="008C4358"/>
    <w:rsid w:val="008D057B"/>
    <w:rsid w:val="008D0A0E"/>
    <w:rsid w:val="008D7B87"/>
    <w:rsid w:val="008E3ED9"/>
    <w:rsid w:val="008E5C17"/>
    <w:rsid w:val="008F43E1"/>
    <w:rsid w:val="008F4C9C"/>
    <w:rsid w:val="00900F2D"/>
    <w:rsid w:val="00910643"/>
    <w:rsid w:val="00924F44"/>
    <w:rsid w:val="009355DF"/>
    <w:rsid w:val="009503A9"/>
    <w:rsid w:val="00983036"/>
    <w:rsid w:val="009926DE"/>
    <w:rsid w:val="009B3BE0"/>
    <w:rsid w:val="009C23B7"/>
    <w:rsid w:val="009D1B96"/>
    <w:rsid w:val="009D275B"/>
    <w:rsid w:val="00A034B0"/>
    <w:rsid w:val="00A12089"/>
    <w:rsid w:val="00A123E2"/>
    <w:rsid w:val="00A13C4A"/>
    <w:rsid w:val="00A1418B"/>
    <w:rsid w:val="00A14FB4"/>
    <w:rsid w:val="00A33A6B"/>
    <w:rsid w:val="00A33F54"/>
    <w:rsid w:val="00A46D1D"/>
    <w:rsid w:val="00A46E2B"/>
    <w:rsid w:val="00A47C41"/>
    <w:rsid w:val="00A8199E"/>
    <w:rsid w:val="00A84DD8"/>
    <w:rsid w:val="00A90F16"/>
    <w:rsid w:val="00AA1CD0"/>
    <w:rsid w:val="00AB18A8"/>
    <w:rsid w:val="00AB3DE5"/>
    <w:rsid w:val="00AB7223"/>
    <w:rsid w:val="00AD4B5A"/>
    <w:rsid w:val="00AE53F2"/>
    <w:rsid w:val="00AF61D5"/>
    <w:rsid w:val="00AF7068"/>
    <w:rsid w:val="00AF783B"/>
    <w:rsid w:val="00B14157"/>
    <w:rsid w:val="00B15D29"/>
    <w:rsid w:val="00B16E5B"/>
    <w:rsid w:val="00B229B5"/>
    <w:rsid w:val="00B274BF"/>
    <w:rsid w:val="00B4330B"/>
    <w:rsid w:val="00B53D4F"/>
    <w:rsid w:val="00B66730"/>
    <w:rsid w:val="00B75FEE"/>
    <w:rsid w:val="00B8694A"/>
    <w:rsid w:val="00B9414A"/>
    <w:rsid w:val="00BA5E95"/>
    <w:rsid w:val="00BA7CA0"/>
    <w:rsid w:val="00BB5935"/>
    <w:rsid w:val="00BC1385"/>
    <w:rsid w:val="00BC6B39"/>
    <w:rsid w:val="00BD0A87"/>
    <w:rsid w:val="00BD443D"/>
    <w:rsid w:val="00BD7088"/>
    <w:rsid w:val="00C06D60"/>
    <w:rsid w:val="00C20591"/>
    <w:rsid w:val="00C303C6"/>
    <w:rsid w:val="00C35FD6"/>
    <w:rsid w:val="00C378BF"/>
    <w:rsid w:val="00C45981"/>
    <w:rsid w:val="00C56C2D"/>
    <w:rsid w:val="00C64F16"/>
    <w:rsid w:val="00C73EFB"/>
    <w:rsid w:val="00C83D28"/>
    <w:rsid w:val="00CA580A"/>
    <w:rsid w:val="00CC2A34"/>
    <w:rsid w:val="00CD4949"/>
    <w:rsid w:val="00CE3FF7"/>
    <w:rsid w:val="00CE5D6C"/>
    <w:rsid w:val="00CE5FD8"/>
    <w:rsid w:val="00CE661C"/>
    <w:rsid w:val="00CF1F7C"/>
    <w:rsid w:val="00D01B88"/>
    <w:rsid w:val="00D21D91"/>
    <w:rsid w:val="00D270DE"/>
    <w:rsid w:val="00D27588"/>
    <w:rsid w:val="00D362C8"/>
    <w:rsid w:val="00D36EAD"/>
    <w:rsid w:val="00D63DE4"/>
    <w:rsid w:val="00D64E66"/>
    <w:rsid w:val="00D72359"/>
    <w:rsid w:val="00D73B12"/>
    <w:rsid w:val="00D75779"/>
    <w:rsid w:val="00D778D9"/>
    <w:rsid w:val="00D964DE"/>
    <w:rsid w:val="00DA2365"/>
    <w:rsid w:val="00DA2D33"/>
    <w:rsid w:val="00DB24E0"/>
    <w:rsid w:val="00DB2B1B"/>
    <w:rsid w:val="00DB622F"/>
    <w:rsid w:val="00DC13F3"/>
    <w:rsid w:val="00DC275D"/>
    <w:rsid w:val="00DC34C4"/>
    <w:rsid w:val="00DC7A49"/>
    <w:rsid w:val="00DD33BC"/>
    <w:rsid w:val="00DF1C8F"/>
    <w:rsid w:val="00DF44F6"/>
    <w:rsid w:val="00E10964"/>
    <w:rsid w:val="00E10D09"/>
    <w:rsid w:val="00E312CE"/>
    <w:rsid w:val="00E326E8"/>
    <w:rsid w:val="00E3486E"/>
    <w:rsid w:val="00E47B11"/>
    <w:rsid w:val="00E5650E"/>
    <w:rsid w:val="00E63B7A"/>
    <w:rsid w:val="00E852D3"/>
    <w:rsid w:val="00E9231A"/>
    <w:rsid w:val="00EA2D51"/>
    <w:rsid w:val="00EB26C8"/>
    <w:rsid w:val="00ED58C8"/>
    <w:rsid w:val="00EE1831"/>
    <w:rsid w:val="00EE5148"/>
    <w:rsid w:val="00EE51D7"/>
    <w:rsid w:val="00F05ABE"/>
    <w:rsid w:val="00F20BEB"/>
    <w:rsid w:val="00F26FCA"/>
    <w:rsid w:val="00F32DF6"/>
    <w:rsid w:val="00F411D0"/>
    <w:rsid w:val="00F420D2"/>
    <w:rsid w:val="00F44CF4"/>
    <w:rsid w:val="00F45C6F"/>
    <w:rsid w:val="00F55E1C"/>
    <w:rsid w:val="00F66787"/>
    <w:rsid w:val="00F6754F"/>
    <w:rsid w:val="00F679FE"/>
    <w:rsid w:val="00F739E3"/>
    <w:rsid w:val="00F80E88"/>
    <w:rsid w:val="00F85F81"/>
    <w:rsid w:val="00F961ED"/>
    <w:rsid w:val="00FA20D7"/>
    <w:rsid w:val="00FB1204"/>
    <w:rsid w:val="00FB6052"/>
    <w:rsid w:val="00FD55D7"/>
    <w:rsid w:val="00FE58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754F"/>
    <w:pPr>
      <w:jc w:val="both"/>
    </w:pPr>
    <w:rPr>
      <w:snapToGrid w:val="0"/>
      <w:sz w:val="22"/>
    </w:rPr>
  </w:style>
  <w:style w:type="paragraph" w:styleId="Nagwek1">
    <w:name w:val="heading 1"/>
    <w:basedOn w:val="Normalny"/>
    <w:next w:val="Normalny"/>
    <w:qFormat/>
    <w:rsid w:val="00F6754F"/>
    <w:pPr>
      <w:keepNext/>
      <w:outlineLvl w:val="0"/>
    </w:pPr>
    <w:rPr>
      <w:b/>
      <w:kern w:val="28"/>
      <w:sz w:val="28"/>
    </w:rPr>
  </w:style>
  <w:style w:type="paragraph" w:styleId="Nagwek2">
    <w:name w:val="heading 2"/>
    <w:basedOn w:val="Normalny"/>
    <w:next w:val="Normalny"/>
    <w:qFormat/>
    <w:rsid w:val="00F6754F"/>
    <w:pPr>
      <w:keepNext/>
      <w:suppressAutoHyphens/>
      <w:ind w:left="709" w:hanging="709"/>
      <w:outlineLvl w:val="1"/>
    </w:pPr>
    <w:rPr>
      <w:b/>
      <w:sz w:val="24"/>
    </w:rPr>
  </w:style>
  <w:style w:type="paragraph" w:styleId="Nagwek3">
    <w:name w:val="heading 3"/>
    <w:basedOn w:val="Normalny"/>
    <w:next w:val="Normalny"/>
    <w:qFormat/>
    <w:rsid w:val="00F6754F"/>
    <w:pPr>
      <w:keepNext/>
      <w:outlineLvl w:val="2"/>
    </w:pPr>
    <w:rPr>
      <w:b/>
    </w:rPr>
  </w:style>
  <w:style w:type="paragraph" w:styleId="Nagwek4">
    <w:name w:val="heading 4"/>
    <w:basedOn w:val="Normalny"/>
    <w:next w:val="Normalny"/>
    <w:qFormat/>
    <w:rsid w:val="00F6754F"/>
    <w:pPr>
      <w:keepNext/>
      <w:spacing w:before="240" w:after="60"/>
      <w:jc w:val="left"/>
      <w:outlineLvl w:val="3"/>
    </w:pPr>
    <w:rPr>
      <w:b/>
      <w:i/>
      <w:sz w:val="24"/>
      <w:lang w:val="pt-PT"/>
    </w:rPr>
  </w:style>
  <w:style w:type="paragraph" w:styleId="Nagwek5">
    <w:name w:val="heading 5"/>
    <w:basedOn w:val="Normalny"/>
    <w:next w:val="Normalny"/>
    <w:qFormat/>
    <w:rsid w:val="00F6754F"/>
    <w:pPr>
      <w:spacing w:before="240" w:after="60"/>
      <w:outlineLvl w:val="4"/>
    </w:pPr>
    <w:rPr>
      <w:snapToGrid/>
      <w:sz w:val="24"/>
    </w:rPr>
  </w:style>
  <w:style w:type="paragraph" w:styleId="Nagwek6">
    <w:name w:val="heading 6"/>
    <w:basedOn w:val="Normalny"/>
    <w:next w:val="Normalny"/>
    <w:qFormat/>
    <w:rsid w:val="00F6754F"/>
    <w:pPr>
      <w:keepNext/>
      <w:widowControl w:val="0"/>
      <w:autoSpaceDE w:val="0"/>
      <w:autoSpaceDN w:val="0"/>
      <w:adjustRightInd w:val="0"/>
      <w:spacing w:before="120" w:after="120"/>
      <w:jc w:val="center"/>
      <w:outlineLvl w:val="5"/>
    </w:pPr>
    <w:rPr>
      <w:b/>
      <w:bCs/>
      <w:snapToGrid/>
      <w:sz w:val="24"/>
      <w:szCs w:val="24"/>
    </w:rPr>
  </w:style>
  <w:style w:type="paragraph" w:styleId="Nagwek7">
    <w:name w:val="heading 7"/>
    <w:basedOn w:val="Normalny"/>
    <w:next w:val="Normalny"/>
    <w:qFormat/>
    <w:rsid w:val="00F6754F"/>
    <w:pPr>
      <w:spacing w:before="240" w:after="60"/>
      <w:outlineLvl w:val="6"/>
    </w:pPr>
    <w:rPr>
      <w:snapToGrid/>
      <w:sz w:val="24"/>
      <w:szCs w:val="24"/>
    </w:rPr>
  </w:style>
  <w:style w:type="paragraph" w:styleId="Nagwek8">
    <w:name w:val="heading 8"/>
    <w:basedOn w:val="Normalny"/>
    <w:next w:val="Normalny"/>
    <w:qFormat/>
    <w:rsid w:val="00F6754F"/>
    <w:pPr>
      <w:spacing w:before="240" w:after="60"/>
      <w:outlineLvl w:val="7"/>
    </w:pPr>
    <w:rPr>
      <w:i/>
      <w:iCs/>
      <w:snapToGrid/>
      <w:sz w:val="24"/>
      <w:szCs w:val="24"/>
    </w:rPr>
  </w:style>
  <w:style w:type="paragraph" w:styleId="Nagwek9">
    <w:name w:val="heading 9"/>
    <w:basedOn w:val="Normalny"/>
    <w:next w:val="Normalny"/>
    <w:qFormat/>
    <w:rsid w:val="00F6754F"/>
    <w:pPr>
      <w:spacing w:before="240" w:after="60"/>
      <w:outlineLvl w:val="8"/>
    </w:pPr>
    <w:rPr>
      <w:rFonts w:ascii="Arial" w:hAnsi="Arial" w:cs="Arial"/>
      <w:snapToGrid/>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0">
    <w:name w:val="Nagłówek 0"/>
    <w:basedOn w:val="Nagwek1"/>
    <w:rsid w:val="00F6754F"/>
    <w:pPr>
      <w:ind w:left="1418" w:hanging="1418"/>
      <w:jc w:val="left"/>
      <w:outlineLvl w:val="9"/>
    </w:pPr>
    <w:rPr>
      <w:caps/>
    </w:rPr>
  </w:style>
  <w:style w:type="character" w:styleId="Numerstrony">
    <w:name w:val="page number"/>
    <w:basedOn w:val="Domylnaczcionkaakapitu"/>
    <w:rsid w:val="00F6754F"/>
  </w:style>
  <w:style w:type="paragraph" w:styleId="Nagwek">
    <w:name w:val="header"/>
    <w:basedOn w:val="Normalny"/>
    <w:rsid w:val="00F6754F"/>
    <w:pPr>
      <w:tabs>
        <w:tab w:val="center" w:pos="4153"/>
        <w:tab w:val="right" w:pos="8306"/>
      </w:tabs>
      <w:jc w:val="left"/>
    </w:pPr>
    <w:rPr>
      <w:sz w:val="24"/>
      <w:lang w:val="pt-PT"/>
    </w:rPr>
  </w:style>
  <w:style w:type="paragraph" w:styleId="Stopka">
    <w:name w:val="footer"/>
    <w:basedOn w:val="Normalny"/>
    <w:link w:val="StopkaZnak"/>
    <w:rsid w:val="00F6754F"/>
    <w:pPr>
      <w:tabs>
        <w:tab w:val="center" w:pos="4153"/>
        <w:tab w:val="right" w:pos="8306"/>
      </w:tabs>
      <w:jc w:val="left"/>
    </w:pPr>
    <w:rPr>
      <w:sz w:val="24"/>
      <w:lang w:val="pt-PT"/>
    </w:rPr>
  </w:style>
  <w:style w:type="paragraph" w:customStyle="1" w:styleId="tablica">
    <w:name w:val="tablica"/>
    <w:basedOn w:val="Normalny"/>
    <w:rsid w:val="00F6754F"/>
    <w:rPr>
      <w:b/>
      <w:sz w:val="20"/>
    </w:rPr>
  </w:style>
  <w:style w:type="paragraph" w:styleId="Listapunktowana">
    <w:name w:val="List Bullet"/>
    <w:basedOn w:val="Normalny"/>
    <w:autoRedefine/>
    <w:rsid w:val="00F6754F"/>
    <w:pPr>
      <w:tabs>
        <w:tab w:val="left" w:pos="720"/>
        <w:tab w:val="left" w:pos="1843"/>
      </w:tabs>
      <w:spacing w:line="300" w:lineRule="atLeast"/>
      <w:ind w:left="720" w:right="84" w:hanging="360"/>
    </w:pPr>
    <w:rPr>
      <w:rFonts w:ascii="Arial" w:hAnsi="Arial"/>
    </w:rPr>
  </w:style>
  <w:style w:type="paragraph" w:styleId="Tekstpodstawowy">
    <w:name w:val="Body Text"/>
    <w:basedOn w:val="Normalny"/>
    <w:rsid w:val="00F6754F"/>
    <w:pPr>
      <w:ind w:right="84"/>
    </w:pPr>
    <w:rPr>
      <w:rFonts w:ascii="Arial" w:hAnsi="Arial"/>
    </w:rPr>
  </w:style>
  <w:style w:type="paragraph" w:styleId="Tekstpodstawowy2">
    <w:name w:val="Body Text 2"/>
    <w:basedOn w:val="Normalny"/>
    <w:rsid w:val="00F6754F"/>
    <w:pPr>
      <w:suppressAutoHyphens/>
    </w:pPr>
    <w:rPr>
      <w:sz w:val="24"/>
    </w:rPr>
  </w:style>
  <w:style w:type="paragraph" w:styleId="Tekstblokowy">
    <w:name w:val="Block Text"/>
    <w:basedOn w:val="Normalny"/>
    <w:rsid w:val="00F6754F"/>
    <w:pPr>
      <w:ind w:left="2268" w:right="84" w:hanging="2268"/>
      <w:jc w:val="left"/>
    </w:pPr>
    <w:rPr>
      <w:sz w:val="24"/>
    </w:rPr>
  </w:style>
  <w:style w:type="paragraph" w:styleId="Tekstpodstawowy3">
    <w:name w:val="Body Text 3"/>
    <w:basedOn w:val="Normalny"/>
    <w:rsid w:val="00F6754F"/>
    <w:pPr>
      <w:ind w:right="278"/>
    </w:pPr>
    <w:rPr>
      <w:sz w:val="24"/>
    </w:rPr>
  </w:style>
  <w:style w:type="paragraph" w:styleId="Zwykytekst">
    <w:name w:val="Plain Text"/>
    <w:basedOn w:val="Normalny"/>
    <w:rsid w:val="00F6754F"/>
    <w:pPr>
      <w:jc w:val="left"/>
    </w:pPr>
    <w:rPr>
      <w:rFonts w:ascii="Courier New" w:hAnsi="Courier New" w:cs="Courier New"/>
      <w:snapToGrid/>
      <w:sz w:val="20"/>
    </w:rPr>
  </w:style>
  <w:style w:type="paragraph" w:styleId="Tekstdymka">
    <w:name w:val="Balloon Text"/>
    <w:basedOn w:val="Normalny"/>
    <w:semiHidden/>
    <w:rsid w:val="004C41D2"/>
    <w:rPr>
      <w:rFonts w:ascii="Tahoma" w:hAnsi="Tahoma" w:cs="Tahoma"/>
      <w:sz w:val="16"/>
      <w:szCs w:val="16"/>
    </w:rPr>
  </w:style>
  <w:style w:type="table" w:styleId="Tabela-Siatka">
    <w:name w:val="Table Grid"/>
    <w:basedOn w:val="Standardowy"/>
    <w:rsid w:val="007B12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3F1BC6"/>
    <w:pPr>
      <w:ind w:left="720"/>
      <w:contextualSpacing/>
    </w:pPr>
  </w:style>
  <w:style w:type="character" w:customStyle="1" w:styleId="StopkaZnak">
    <w:name w:val="Stopka Znak"/>
    <w:basedOn w:val="Domylnaczcionkaakapitu"/>
    <w:link w:val="Stopka"/>
    <w:rsid w:val="00C64F16"/>
    <w:rPr>
      <w:snapToGrid w:val="0"/>
      <w:sz w:val="24"/>
      <w:lang w:val="pt-PT"/>
    </w:rPr>
  </w:style>
  <w:style w:type="character" w:styleId="Odwoaniedokomentarza">
    <w:name w:val="annotation reference"/>
    <w:basedOn w:val="Domylnaczcionkaakapitu"/>
    <w:semiHidden/>
    <w:unhideWhenUsed/>
    <w:rsid w:val="00F32DF6"/>
    <w:rPr>
      <w:sz w:val="16"/>
      <w:szCs w:val="16"/>
    </w:rPr>
  </w:style>
  <w:style w:type="paragraph" w:styleId="Tekstkomentarza">
    <w:name w:val="annotation text"/>
    <w:basedOn w:val="Normalny"/>
    <w:link w:val="TekstkomentarzaZnak"/>
    <w:semiHidden/>
    <w:unhideWhenUsed/>
    <w:rsid w:val="00F32DF6"/>
    <w:rPr>
      <w:sz w:val="20"/>
    </w:rPr>
  </w:style>
  <w:style w:type="character" w:customStyle="1" w:styleId="TekstkomentarzaZnak">
    <w:name w:val="Tekst komentarza Znak"/>
    <w:basedOn w:val="Domylnaczcionkaakapitu"/>
    <w:link w:val="Tekstkomentarza"/>
    <w:semiHidden/>
    <w:rsid w:val="00F32DF6"/>
    <w:rPr>
      <w:snapToGrid w:val="0"/>
    </w:rPr>
  </w:style>
  <w:style w:type="paragraph" w:styleId="Tematkomentarza">
    <w:name w:val="annotation subject"/>
    <w:basedOn w:val="Tekstkomentarza"/>
    <w:next w:val="Tekstkomentarza"/>
    <w:link w:val="TematkomentarzaZnak"/>
    <w:semiHidden/>
    <w:unhideWhenUsed/>
    <w:rsid w:val="00F32DF6"/>
    <w:rPr>
      <w:b/>
      <w:bCs/>
    </w:rPr>
  </w:style>
  <w:style w:type="character" w:customStyle="1" w:styleId="TematkomentarzaZnak">
    <w:name w:val="Temat komentarza Znak"/>
    <w:basedOn w:val="TekstkomentarzaZnak"/>
    <w:link w:val="Tematkomentarza"/>
    <w:semiHidden/>
    <w:rsid w:val="00F32DF6"/>
    <w:rPr>
      <w:b/>
      <w:bCs/>
      <w:snapToGrid w:val="0"/>
    </w:rPr>
  </w:style>
  <w:style w:type="character" w:customStyle="1" w:styleId="Teksttreci">
    <w:name w:val="Tekst treści_"/>
    <w:basedOn w:val="Domylnaczcionkaakapitu"/>
    <w:link w:val="Teksttreci0"/>
    <w:uiPriority w:val="99"/>
    <w:rsid w:val="00BC6B39"/>
    <w:rPr>
      <w:shd w:val="clear" w:color="auto" w:fill="FFFFFF"/>
    </w:rPr>
  </w:style>
  <w:style w:type="paragraph" w:customStyle="1" w:styleId="Teksttreci0">
    <w:name w:val="Tekst treści"/>
    <w:basedOn w:val="Normalny"/>
    <w:link w:val="Teksttreci"/>
    <w:uiPriority w:val="99"/>
    <w:rsid w:val="00BC6B39"/>
    <w:pPr>
      <w:widowControl w:val="0"/>
      <w:shd w:val="clear" w:color="auto" w:fill="FFFFFF"/>
      <w:spacing w:before="120" w:after="120" w:line="245" w:lineRule="exact"/>
      <w:ind w:hanging="1000"/>
    </w:pPr>
    <w:rPr>
      <w:snapToGrid/>
      <w:sz w:val="20"/>
    </w:rPr>
  </w:style>
  <w:style w:type="character" w:customStyle="1" w:styleId="Nagwek20">
    <w:name w:val="Nagłówek #2_"/>
    <w:basedOn w:val="Domylnaczcionkaakapitu"/>
    <w:link w:val="Nagwek21"/>
    <w:rsid w:val="00BC6B39"/>
    <w:rPr>
      <w:b/>
      <w:bCs/>
      <w:shd w:val="clear" w:color="auto" w:fill="FFFFFF"/>
    </w:rPr>
  </w:style>
  <w:style w:type="paragraph" w:customStyle="1" w:styleId="Nagwek21">
    <w:name w:val="Nagłówek #2"/>
    <w:basedOn w:val="Normalny"/>
    <w:link w:val="Nagwek20"/>
    <w:rsid w:val="00BC6B39"/>
    <w:pPr>
      <w:widowControl w:val="0"/>
      <w:shd w:val="clear" w:color="auto" w:fill="FFFFFF"/>
      <w:spacing w:after="300" w:line="0" w:lineRule="atLeast"/>
      <w:ind w:hanging="280"/>
      <w:outlineLvl w:val="1"/>
    </w:pPr>
    <w:rPr>
      <w:b/>
      <w:bCs/>
      <w:snapToGrid/>
      <w:sz w:val="20"/>
    </w:rPr>
  </w:style>
</w:styles>
</file>

<file path=word/webSettings.xml><?xml version="1.0" encoding="utf-8"?>
<w:webSettings xmlns:r="http://schemas.openxmlformats.org/officeDocument/2006/relationships" xmlns:w="http://schemas.openxmlformats.org/wordprocessingml/2006/main">
  <w:divs>
    <w:div w:id="1093167526">
      <w:bodyDiv w:val="1"/>
      <w:marLeft w:val="0"/>
      <w:marRight w:val="0"/>
      <w:marTop w:val="0"/>
      <w:marBottom w:val="0"/>
      <w:divBdr>
        <w:top w:val="none" w:sz="0" w:space="0" w:color="auto"/>
        <w:left w:val="none" w:sz="0" w:space="0" w:color="auto"/>
        <w:bottom w:val="none" w:sz="0" w:space="0" w:color="auto"/>
        <w:right w:val="none" w:sz="0" w:space="0" w:color="auto"/>
      </w:divBdr>
    </w:div>
    <w:div w:id="1124889348">
      <w:bodyDiv w:val="1"/>
      <w:marLeft w:val="0"/>
      <w:marRight w:val="0"/>
      <w:marTop w:val="0"/>
      <w:marBottom w:val="0"/>
      <w:divBdr>
        <w:top w:val="none" w:sz="0" w:space="0" w:color="auto"/>
        <w:left w:val="none" w:sz="0" w:space="0" w:color="auto"/>
        <w:bottom w:val="none" w:sz="0" w:space="0" w:color="auto"/>
        <w:right w:val="none" w:sz="0" w:space="0" w:color="auto"/>
      </w:divBdr>
    </w:div>
    <w:div w:id="20442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m=katalog&amp;a=find&amp;pfsymbol=PN-EN+1317-2%3A20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kn.pl/?a=show&amp;m=katalog&amp;id=462675&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86FDA-53FB-455A-AC6E-DA64F599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1954</TotalTime>
  <Pages>18</Pages>
  <Words>5635</Words>
  <Characters>33810</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D-M-00.00.00._WYMAGANIA OGÓLNE</vt:lpstr>
      <vt:lpstr>D-M-00.00.00._WYMAGANIA OGÓLNE</vt:lpstr>
    </vt:vector>
  </TitlesOfParts>
  <Company>GDAŃSK</Company>
  <LinksUpToDate>false</LinksUpToDate>
  <CharactersWithSpaces>39367</CharactersWithSpaces>
  <SharedDoc>false</SharedDoc>
  <HLinks>
    <vt:vector size="12" baseType="variant">
      <vt:variant>
        <vt:i4>196694</vt:i4>
      </vt:variant>
      <vt:variant>
        <vt:i4>3</vt:i4>
      </vt:variant>
      <vt:variant>
        <vt:i4>0</vt:i4>
      </vt:variant>
      <vt:variant>
        <vt:i4>5</vt:i4>
      </vt:variant>
      <vt:variant>
        <vt:lpwstr>http://www.pkn.pl/?a=show&amp;m=katalog&amp;id=462675&amp;page=1</vt:lpwstr>
      </vt:variant>
      <vt:variant>
        <vt:lpwstr/>
      </vt:variant>
      <vt:variant>
        <vt:i4>1507352</vt:i4>
      </vt:variant>
      <vt:variant>
        <vt:i4>0</vt:i4>
      </vt:variant>
      <vt:variant>
        <vt:i4>0</vt:i4>
      </vt:variant>
      <vt:variant>
        <vt:i4>5</vt:i4>
      </vt:variant>
      <vt:variant>
        <vt:lpwstr>http://www.pkn.pl/?m=katalog&amp;a=find&amp;pfsymbol=PN-EN+1317-2%3A2010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D-M-00.00.00._WYMAGANIA OGÓLNE</dc:title>
  <dc:creator>GPRD SA</dc:creator>
  <cp:lastModifiedBy>PC</cp:lastModifiedBy>
  <cp:revision>95</cp:revision>
  <cp:lastPrinted>2018-03-13T07:50:00Z</cp:lastPrinted>
  <dcterms:created xsi:type="dcterms:W3CDTF">2017-11-10T13:43:00Z</dcterms:created>
  <dcterms:modified xsi:type="dcterms:W3CDTF">2019-05-13T14:37:00Z</dcterms:modified>
</cp:coreProperties>
</file>